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0ECD" w14:textId="43BF6D91" w:rsidR="00F613F5" w:rsidRDefault="00F613F5" w:rsidP="00F613F5">
      <w:pPr>
        <w:pStyle w:val="Title"/>
      </w:pPr>
      <w:bookmarkStart w:id="0" w:name="_Hlk62218658"/>
      <w:r w:rsidRPr="007A25CE">
        <w:t>U.S. EPA Center for Corporate Climate Leadership</w:t>
      </w:r>
    </w:p>
    <w:p w14:paraId="32797633" w14:textId="77777777" w:rsidR="007A25CE" w:rsidRDefault="007A25CE" w:rsidP="00F613F5">
      <w:pPr>
        <w:pStyle w:val="Title"/>
      </w:pPr>
    </w:p>
    <w:p w14:paraId="7AC975B3" w14:textId="0C299658" w:rsidR="00F613F5" w:rsidRDefault="00F613F5" w:rsidP="00F613F5">
      <w:pPr>
        <w:pStyle w:val="Title"/>
      </w:pPr>
      <w:r>
        <w:t>GHG Inventory Management Plan Checklist</w:t>
      </w:r>
    </w:p>
    <w:p w14:paraId="40F82ED6" w14:textId="77777777" w:rsidR="007A25CE" w:rsidRDefault="007A25CE" w:rsidP="00F613F5">
      <w:pPr>
        <w:pStyle w:val="Title"/>
        <w:jc w:val="left"/>
        <w:rPr>
          <w:b w:val="0"/>
          <w:bCs/>
          <w:sz w:val="22"/>
          <w:szCs w:val="22"/>
        </w:rPr>
      </w:pPr>
    </w:p>
    <w:p w14:paraId="360E04FE" w14:textId="31FFE4C5" w:rsidR="009D0FCC" w:rsidRDefault="00F613F5" w:rsidP="00F613F5">
      <w:pPr>
        <w:pStyle w:val="Title"/>
        <w:jc w:val="left"/>
        <w:rPr>
          <w:b w:val="0"/>
          <w:bCs/>
          <w:sz w:val="22"/>
          <w:szCs w:val="22"/>
        </w:rPr>
      </w:pPr>
      <w:r w:rsidRPr="00F613F5">
        <w:rPr>
          <w:b w:val="0"/>
          <w:bCs/>
          <w:sz w:val="22"/>
          <w:szCs w:val="22"/>
        </w:rPr>
        <w:t>An Inventory Management Plan (IMP) documents an organization’s greenhouse gas (GHG) emissions inventory process. The Inventory Management Plan (IMP) is an internal process for an organization to institutionalize the completion of a high-quality inventory. The IMP checklist outlines what components should be included in an IMP and can be used as a guide for creating an IMP or pulling together existing documents. The checklist does not represent and should not be used as a substitute for an IMP.</w:t>
      </w:r>
    </w:p>
    <w:p w14:paraId="4735F581" w14:textId="77777777" w:rsidR="00F613F5" w:rsidRDefault="00F613F5" w:rsidP="00F613F5">
      <w:pPr>
        <w:pStyle w:val="Title"/>
        <w:jc w:val="left"/>
        <w:rPr>
          <w:b w:val="0"/>
          <w:bCs/>
          <w:sz w:val="22"/>
          <w:szCs w:val="22"/>
        </w:rPr>
        <w:sectPr w:rsidR="00F613F5" w:rsidSect="00217D20">
          <w:headerReference w:type="default" r:id="rId10"/>
          <w:footerReference w:type="default" r:id="rId11"/>
          <w:pgSz w:w="15840" w:h="12240" w:orient="landscape" w:code="1"/>
          <w:pgMar w:top="1440" w:right="720" w:bottom="1008" w:left="720" w:header="144" w:footer="360" w:gutter="0"/>
          <w:cols w:space="720"/>
          <w:docGrid w:linePitch="326"/>
        </w:sectPr>
      </w:pPr>
    </w:p>
    <w:p w14:paraId="250FE9FB" w14:textId="2A34D0AB" w:rsidR="00F613F5" w:rsidRPr="00F613F5" w:rsidRDefault="00F613F5" w:rsidP="00F613F5">
      <w:pPr>
        <w:pStyle w:val="Title"/>
        <w:jc w:val="left"/>
        <w:rPr>
          <w:b w:val="0"/>
          <w:bCs/>
          <w:sz w:val="22"/>
          <w:szCs w:val="22"/>
        </w:rPr>
      </w:pPr>
    </w:p>
    <w:p w14:paraId="7F400CB6" w14:textId="77777777" w:rsidR="00C66FB6" w:rsidRPr="00DF0AE2" w:rsidRDefault="00C66FB6">
      <w:pPr>
        <w:tabs>
          <w:tab w:val="left" w:pos="467"/>
          <w:tab w:val="left" w:pos="3168"/>
          <w:tab w:val="left" w:pos="7308"/>
          <w:tab w:val="left" w:pos="9828"/>
        </w:tabs>
        <w:rPr>
          <w:rFonts w:ascii="Arial" w:hAnsi="Arial"/>
          <w:snapToGrid w:val="0"/>
          <w:sz w:val="12"/>
          <w:szCs w:val="12"/>
        </w:rPr>
      </w:pPr>
    </w:p>
    <w:tbl>
      <w:tblPr>
        <w:tblW w:w="1440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2591"/>
        <w:gridCol w:w="4734"/>
        <w:gridCol w:w="6609"/>
      </w:tblGrid>
      <w:tr w:rsidR="00C66FB6" w14:paraId="1E58DD4B" w14:textId="77777777" w:rsidTr="007A25CE">
        <w:trPr>
          <w:cantSplit/>
          <w:tblHeader/>
        </w:trPr>
        <w:tc>
          <w:tcPr>
            <w:tcW w:w="468" w:type="dxa"/>
            <w:tcBorders>
              <w:bottom w:val="nil"/>
            </w:tcBorders>
          </w:tcPr>
          <w:p w14:paraId="5734AC5C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1AC52435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IMP Component</w:t>
            </w:r>
          </w:p>
        </w:tc>
        <w:tc>
          <w:tcPr>
            <w:tcW w:w="4770" w:type="dxa"/>
            <w:tcBorders>
              <w:bottom w:val="nil"/>
            </w:tcBorders>
          </w:tcPr>
          <w:p w14:paraId="180AD67B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Detail Required</w:t>
            </w:r>
          </w:p>
        </w:tc>
        <w:tc>
          <w:tcPr>
            <w:tcW w:w="6660" w:type="dxa"/>
            <w:tcBorders>
              <w:bottom w:val="nil"/>
            </w:tcBorders>
          </w:tcPr>
          <w:p w14:paraId="72D2DC43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snapToGrid w:val="0"/>
                <w:sz w:val="18"/>
              </w:rPr>
              <w:t>Issues to Consider</w:t>
            </w:r>
          </w:p>
        </w:tc>
      </w:tr>
      <w:tr w:rsidR="009D0FCC" w14:paraId="66E3E2F4" w14:textId="77777777" w:rsidTr="007A25CE">
        <w:trPr>
          <w:cantSplit/>
        </w:trPr>
        <w:tc>
          <w:tcPr>
            <w:tcW w:w="468" w:type="dxa"/>
            <w:shd w:val="pct50" w:color="auto" w:fill="FFFFFF"/>
          </w:tcPr>
          <w:p w14:paraId="522E4FE6" w14:textId="77777777" w:rsidR="009D0FCC" w:rsidRDefault="009D0FCC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FFFFFF"/>
                <w:sz w:val="20"/>
              </w:rPr>
            </w:pPr>
          </w:p>
        </w:tc>
        <w:tc>
          <w:tcPr>
            <w:tcW w:w="2610" w:type="dxa"/>
            <w:shd w:val="pct50" w:color="auto" w:fill="FFFFFF"/>
          </w:tcPr>
          <w:p w14:paraId="55BC1999" w14:textId="77777777" w:rsidR="009D0FCC" w:rsidRDefault="009D0FCC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FFFFFF"/>
                <w:sz w:val="18"/>
              </w:rPr>
              <w:t>Version Information</w:t>
            </w:r>
          </w:p>
        </w:tc>
        <w:tc>
          <w:tcPr>
            <w:tcW w:w="4770" w:type="dxa"/>
            <w:shd w:val="pct50" w:color="auto" w:fill="FFFFFF"/>
          </w:tcPr>
          <w:p w14:paraId="2C2EE3C4" w14:textId="77777777" w:rsidR="009D0FCC" w:rsidRDefault="009D0FCC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20"/>
              </w:rPr>
            </w:pPr>
          </w:p>
        </w:tc>
        <w:tc>
          <w:tcPr>
            <w:tcW w:w="6660" w:type="dxa"/>
            <w:shd w:val="pct50" w:color="auto" w:fill="FFFFFF"/>
          </w:tcPr>
          <w:p w14:paraId="1DE4A03C" w14:textId="77777777" w:rsidR="009D0FCC" w:rsidRDefault="009D0FCC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20"/>
              </w:rPr>
            </w:pPr>
          </w:p>
        </w:tc>
      </w:tr>
      <w:tr w:rsidR="009D0FCC" w14:paraId="2DCDC8BB" w14:textId="77777777" w:rsidTr="007A25CE">
        <w:trPr>
          <w:cantSplit/>
        </w:trPr>
        <w:tc>
          <w:tcPr>
            <w:tcW w:w="468" w:type="dxa"/>
            <w:shd w:val="clear" w:color="auto" w:fill="auto"/>
          </w:tcPr>
          <w:p w14:paraId="4F869D94" w14:textId="77777777" w:rsidR="009D0FCC" w:rsidRPr="00575087" w:rsidRDefault="009D0FCC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 w:themeColor="text1"/>
                <w:sz w:val="16"/>
                <w:szCs w:val="16"/>
              </w:rPr>
              <w:t>A.</w:t>
            </w:r>
          </w:p>
        </w:tc>
        <w:tc>
          <w:tcPr>
            <w:tcW w:w="2610" w:type="dxa"/>
            <w:shd w:val="clear" w:color="auto" w:fill="auto"/>
          </w:tcPr>
          <w:p w14:paraId="7A582907" w14:textId="77777777" w:rsidR="009D0FCC" w:rsidRPr="00575087" w:rsidRDefault="009D0FCC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Cs/>
                <w:snapToGrid w:val="0"/>
                <w:color w:val="000000" w:themeColor="text1"/>
                <w:sz w:val="16"/>
                <w:szCs w:val="16"/>
              </w:rPr>
            </w:pPr>
            <w:r w:rsidRPr="008C07F8">
              <w:rPr>
                <w:rFonts w:ascii="Arial" w:hAnsi="Arial"/>
                <w:bCs/>
                <w:snapToGrid w:val="0"/>
                <w:color w:val="000000" w:themeColor="text1"/>
                <w:sz w:val="16"/>
                <w:szCs w:val="16"/>
              </w:rPr>
              <w:t>Version Number</w:t>
            </w:r>
          </w:p>
        </w:tc>
        <w:tc>
          <w:tcPr>
            <w:tcW w:w="4770" w:type="dxa"/>
            <w:shd w:val="clear" w:color="auto" w:fill="auto"/>
          </w:tcPr>
          <w:p w14:paraId="232AF1D3" w14:textId="77777777" w:rsidR="009D0FCC" w:rsidRPr="00575087" w:rsidRDefault="009D0FCC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Cs/>
                <w:snapToGrid w:val="0"/>
                <w:color w:val="000000" w:themeColor="text1"/>
                <w:sz w:val="16"/>
                <w:szCs w:val="16"/>
              </w:rPr>
            </w:pPr>
            <w:r w:rsidRPr="008C07F8">
              <w:rPr>
                <w:rFonts w:ascii="Arial" w:hAnsi="Arial"/>
                <w:bCs/>
                <w:snapToGrid w:val="0"/>
                <w:color w:val="000000" w:themeColor="text1"/>
                <w:sz w:val="16"/>
                <w:szCs w:val="16"/>
              </w:rPr>
              <w:t>Version number of IMP</w:t>
            </w:r>
          </w:p>
        </w:tc>
        <w:tc>
          <w:tcPr>
            <w:tcW w:w="6660" w:type="dxa"/>
            <w:shd w:val="clear" w:color="auto" w:fill="auto"/>
          </w:tcPr>
          <w:p w14:paraId="418BDDEE" w14:textId="77777777" w:rsidR="009D0FCC" w:rsidRPr="00575087" w:rsidRDefault="009D0FCC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000000" w:themeColor="text1"/>
                <w:sz w:val="20"/>
              </w:rPr>
            </w:pPr>
          </w:p>
        </w:tc>
      </w:tr>
      <w:tr w:rsidR="009D0FCC" w14:paraId="3E9F9FFF" w14:textId="77777777" w:rsidTr="007A25CE">
        <w:trPr>
          <w:cantSplit/>
        </w:trPr>
        <w:tc>
          <w:tcPr>
            <w:tcW w:w="468" w:type="dxa"/>
            <w:shd w:val="clear" w:color="auto" w:fill="auto"/>
          </w:tcPr>
          <w:p w14:paraId="4A9A7C88" w14:textId="77777777" w:rsidR="009D0FCC" w:rsidRPr="00B2445A" w:rsidRDefault="009D0FCC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 w:themeColor="text1"/>
                <w:sz w:val="16"/>
                <w:szCs w:val="16"/>
              </w:rPr>
              <w:t>B.</w:t>
            </w:r>
          </w:p>
        </w:tc>
        <w:tc>
          <w:tcPr>
            <w:tcW w:w="2610" w:type="dxa"/>
            <w:shd w:val="clear" w:color="auto" w:fill="auto"/>
          </w:tcPr>
          <w:p w14:paraId="23A85C01" w14:textId="77777777" w:rsidR="009D0FCC" w:rsidRPr="00B2445A" w:rsidRDefault="009D0FCC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Cs/>
                <w:snapToGrid w:val="0"/>
                <w:color w:val="000000" w:themeColor="text1"/>
                <w:sz w:val="16"/>
                <w:szCs w:val="16"/>
              </w:rPr>
            </w:pPr>
            <w:r w:rsidRPr="008C07F8">
              <w:rPr>
                <w:rFonts w:ascii="Arial" w:hAnsi="Arial"/>
                <w:bCs/>
                <w:snapToGrid w:val="0"/>
                <w:color w:val="000000" w:themeColor="text1"/>
                <w:sz w:val="16"/>
                <w:szCs w:val="16"/>
              </w:rPr>
              <w:t>Date</w:t>
            </w:r>
          </w:p>
        </w:tc>
        <w:tc>
          <w:tcPr>
            <w:tcW w:w="4770" w:type="dxa"/>
            <w:shd w:val="clear" w:color="auto" w:fill="auto"/>
          </w:tcPr>
          <w:p w14:paraId="0CDE49BD" w14:textId="77777777" w:rsidR="009D0FCC" w:rsidRPr="00B2445A" w:rsidRDefault="009D0FCC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Cs/>
                <w:snapToGrid w:val="0"/>
                <w:color w:val="000000" w:themeColor="text1"/>
                <w:sz w:val="16"/>
                <w:szCs w:val="16"/>
              </w:rPr>
            </w:pPr>
            <w:r w:rsidRPr="008C07F8">
              <w:rPr>
                <w:rFonts w:ascii="Arial" w:hAnsi="Arial"/>
                <w:bCs/>
                <w:snapToGrid w:val="0"/>
                <w:color w:val="000000" w:themeColor="text1"/>
                <w:sz w:val="16"/>
                <w:szCs w:val="16"/>
              </w:rPr>
              <w:t>Date IMP completed</w:t>
            </w:r>
          </w:p>
        </w:tc>
        <w:tc>
          <w:tcPr>
            <w:tcW w:w="6660" w:type="dxa"/>
            <w:shd w:val="clear" w:color="auto" w:fill="auto"/>
          </w:tcPr>
          <w:p w14:paraId="46BF940D" w14:textId="77777777" w:rsidR="009D0FCC" w:rsidRPr="009D0FCC" w:rsidRDefault="009D0FCC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000000" w:themeColor="text1"/>
                <w:sz w:val="20"/>
              </w:rPr>
            </w:pPr>
          </w:p>
        </w:tc>
      </w:tr>
      <w:tr w:rsidR="00C66FB6" w14:paraId="1968610C" w14:textId="77777777" w:rsidTr="007A25CE">
        <w:trPr>
          <w:cantSplit/>
        </w:trPr>
        <w:tc>
          <w:tcPr>
            <w:tcW w:w="468" w:type="dxa"/>
            <w:shd w:val="pct50" w:color="auto" w:fill="FFFFFF"/>
          </w:tcPr>
          <w:p w14:paraId="0CC9DB59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FFFFFF"/>
                <w:sz w:val="20"/>
              </w:rPr>
            </w:pPr>
          </w:p>
        </w:tc>
        <w:tc>
          <w:tcPr>
            <w:tcW w:w="2610" w:type="dxa"/>
            <w:shd w:val="pct50" w:color="auto" w:fill="FFFFFF"/>
          </w:tcPr>
          <w:p w14:paraId="36F0936A" w14:textId="6703E0E8" w:rsidR="00C66FB6" w:rsidRDefault="00575087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FFFFFF"/>
                <w:sz w:val="18"/>
              </w:rPr>
              <w:t>Organization</w:t>
            </w:r>
            <w:r w:rsidR="001C1014">
              <w:rPr>
                <w:rFonts w:ascii="Arial" w:hAnsi="Arial"/>
                <w:b/>
                <w:snapToGrid w:val="0"/>
                <w:color w:val="FFFFFF"/>
                <w:sz w:val="18"/>
              </w:rPr>
              <w:t xml:space="preserve"> </w:t>
            </w:r>
            <w:r w:rsidR="00C66FB6">
              <w:rPr>
                <w:rFonts w:ascii="Arial" w:hAnsi="Arial"/>
                <w:b/>
                <w:snapToGrid w:val="0"/>
                <w:color w:val="FFFFFF"/>
                <w:sz w:val="18"/>
              </w:rPr>
              <w:t>Information</w:t>
            </w:r>
          </w:p>
        </w:tc>
        <w:tc>
          <w:tcPr>
            <w:tcW w:w="4770" w:type="dxa"/>
            <w:shd w:val="pct50" w:color="auto" w:fill="FFFFFF"/>
          </w:tcPr>
          <w:p w14:paraId="4654182F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20"/>
              </w:rPr>
            </w:pPr>
          </w:p>
        </w:tc>
        <w:tc>
          <w:tcPr>
            <w:tcW w:w="6660" w:type="dxa"/>
            <w:shd w:val="pct50" w:color="auto" w:fill="FFFFFF"/>
          </w:tcPr>
          <w:p w14:paraId="23309247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20"/>
              </w:rPr>
            </w:pPr>
          </w:p>
        </w:tc>
      </w:tr>
      <w:tr w:rsidR="00C66FB6" w14:paraId="5322C509" w14:textId="77777777" w:rsidTr="007A25CE">
        <w:trPr>
          <w:cantSplit/>
        </w:trPr>
        <w:tc>
          <w:tcPr>
            <w:tcW w:w="468" w:type="dxa"/>
          </w:tcPr>
          <w:p w14:paraId="545FC620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1.</w:t>
            </w:r>
          </w:p>
        </w:tc>
        <w:tc>
          <w:tcPr>
            <w:tcW w:w="2610" w:type="dxa"/>
          </w:tcPr>
          <w:p w14:paraId="79409F60" w14:textId="19612DFB" w:rsidR="00C66FB6" w:rsidRDefault="00575087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Organization</w:t>
            </w:r>
            <w:r w:rsidR="001C1014"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 w:rsidR="00C66FB6">
              <w:rPr>
                <w:rFonts w:ascii="Arial" w:hAnsi="Arial"/>
                <w:snapToGrid w:val="0"/>
                <w:color w:val="000000"/>
                <w:sz w:val="16"/>
              </w:rPr>
              <w:t>Name</w:t>
            </w:r>
          </w:p>
        </w:tc>
        <w:tc>
          <w:tcPr>
            <w:tcW w:w="4770" w:type="dxa"/>
          </w:tcPr>
          <w:p w14:paraId="3F2F1957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Legal name of entity</w:t>
            </w:r>
          </w:p>
        </w:tc>
        <w:tc>
          <w:tcPr>
            <w:tcW w:w="6660" w:type="dxa"/>
          </w:tcPr>
          <w:p w14:paraId="0CEBF500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C66FB6" w14:paraId="52CA17ED" w14:textId="77777777" w:rsidTr="007A25CE">
        <w:trPr>
          <w:cantSplit/>
        </w:trPr>
        <w:tc>
          <w:tcPr>
            <w:tcW w:w="468" w:type="dxa"/>
          </w:tcPr>
          <w:p w14:paraId="77EDC168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2.</w:t>
            </w:r>
          </w:p>
        </w:tc>
        <w:tc>
          <w:tcPr>
            <w:tcW w:w="2610" w:type="dxa"/>
          </w:tcPr>
          <w:p w14:paraId="7721BC7F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Corporate Address</w:t>
            </w:r>
          </w:p>
        </w:tc>
        <w:tc>
          <w:tcPr>
            <w:tcW w:w="4770" w:type="dxa"/>
          </w:tcPr>
          <w:p w14:paraId="64494EF1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Physical and mailing address</w:t>
            </w:r>
          </w:p>
        </w:tc>
        <w:tc>
          <w:tcPr>
            <w:tcW w:w="6660" w:type="dxa"/>
          </w:tcPr>
          <w:p w14:paraId="6B6668A9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C66FB6" w14:paraId="3B68BDF9" w14:textId="77777777" w:rsidTr="007A25CE">
        <w:trPr>
          <w:cantSplit/>
        </w:trPr>
        <w:tc>
          <w:tcPr>
            <w:tcW w:w="468" w:type="dxa"/>
          </w:tcPr>
          <w:p w14:paraId="2E04B4BE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3.</w:t>
            </w:r>
          </w:p>
        </w:tc>
        <w:tc>
          <w:tcPr>
            <w:tcW w:w="2610" w:type="dxa"/>
          </w:tcPr>
          <w:p w14:paraId="0596A81B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Inventory Contact</w:t>
            </w:r>
            <w:r w:rsidR="009D0FCC">
              <w:rPr>
                <w:rFonts w:ascii="Arial" w:hAnsi="Arial"/>
                <w:snapToGrid w:val="0"/>
                <w:color w:val="000000"/>
                <w:sz w:val="16"/>
              </w:rPr>
              <w:t xml:space="preserve"> Name</w:t>
            </w:r>
          </w:p>
        </w:tc>
        <w:tc>
          <w:tcPr>
            <w:tcW w:w="4770" w:type="dxa"/>
          </w:tcPr>
          <w:p w14:paraId="7FBBC76E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Contact name and title</w:t>
            </w:r>
          </w:p>
        </w:tc>
        <w:tc>
          <w:tcPr>
            <w:tcW w:w="6660" w:type="dxa"/>
          </w:tcPr>
          <w:p w14:paraId="61DECCEE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C66FB6" w14:paraId="3276673E" w14:textId="77777777" w:rsidTr="007A25CE">
        <w:trPr>
          <w:cantSplit/>
        </w:trPr>
        <w:tc>
          <w:tcPr>
            <w:tcW w:w="468" w:type="dxa"/>
          </w:tcPr>
          <w:p w14:paraId="3C4CC86F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4.</w:t>
            </w:r>
          </w:p>
        </w:tc>
        <w:tc>
          <w:tcPr>
            <w:tcW w:w="2610" w:type="dxa"/>
          </w:tcPr>
          <w:p w14:paraId="68B20F08" w14:textId="402DB4E6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Contact Information</w:t>
            </w:r>
          </w:p>
        </w:tc>
        <w:tc>
          <w:tcPr>
            <w:tcW w:w="4770" w:type="dxa"/>
          </w:tcPr>
          <w:p w14:paraId="11F79567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Contact information (telephone/fax/email)</w:t>
            </w:r>
          </w:p>
        </w:tc>
        <w:tc>
          <w:tcPr>
            <w:tcW w:w="6660" w:type="dxa"/>
          </w:tcPr>
          <w:p w14:paraId="622B4EAE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C66FB6" w14:paraId="66DBCFD9" w14:textId="77777777" w:rsidTr="007A25CE">
        <w:trPr>
          <w:cantSplit/>
        </w:trPr>
        <w:tc>
          <w:tcPr>
            <w:tcW w:w="468" w:type="dxa"/>
            <w:shd w:val="pct50" w:color="auto" w:fill="FFFFFF"/>
          </w:tcPr>
          <w:p w14:paraId="03637CEF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FFFFFF"/>
                <w:sz w:val="20"/>
              </w:rPr>
            </w:pPr>
          </w:p>
        </w:tc>
        <w:tc>
          <w:tcPr>
            <w:tcW w:w="2610" w:type="dxa"/>
            <w:shd w:val="pct50" w:color="auto" w:fill="FFFFFF"/>
          </w:tcPr>
          <w:p w14:paraId="1ABC9446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FFFFFF"/>
                <w:sz w:val="18"/>
              </w:rPr>
              <w:t>Boundary Conditions</w:t>
            </w:r>
          </w:p>
        </w:tc>
        <w:tc>
          <w:tcPr>
            <w:tcW w:w="4770" w:type="dxa"/>
            <w:shd w:val="pct50" w:color="auto" w:fill="FFFFFF"/>
          </w:tcPr>
          <w:p w14:paraId="4F9104CA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20"/>
              </w:rPr>
            </w:pPr>
          </w:p>
        </w:tc>
        <w:tc>
          <w:tcPr>
            <w:tcW w:w="6660" w:type="dxa"/>
            <w:shd w:val="pct50" w:color="auto" w:fill="FFFFFF"/>
          </w:tcPr>
          <w:p w14:paraId="09719E8A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20"/>
              </w:rPr>
            </w:pPr>
          </w:p>
        </w:tc>
      </w:tr>
      <w:tr w:rsidR="00C66FB6" w14:paraId="61631022" w14:textId="77777777" w:rsidTr="007A25CE">
        <w:trPr>
          <w:cantSplit/>
        </w:trPr>
        <w:tc>
          <w:tcPr>
            <w:tcW w:w="468" w:type="dxa"/>
          </w:tcPr>
          <w:p w14:paraId="19C1AF1F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610" w:type="dxa"/>
          </w:tcPr>
          <w:p w14:paraId="3667F255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ab/>
            </w:r>
            <w:r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  <w:t>Organizational</w:t>
            </w:r>
          </w:p>
        </w:tc>
        <w:tc>
          <w:tcPr>
            <w:tcW w:w="4770" w:type="dxa"/>
          </w:tcPr>
          <w:p w14:paraId="4CC877F3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</w:pPr>
          </w:p>
        </w:tc>
        <w:tc>
          <w:tcPr>
            <w:tcW w:w="6660" w:type="dxa"/>
          </w:tcPr>
          <w:p w14:paraId="41AE93A6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</w:tr>
      <w:tr w:rsidR="00C66FB6" w14:paraId="5DA2AD89" w14:textId="77777777" w:rsidTr="007A25CE">
        <w:trPr>
          <w:cantSplit/>
        </w:trPr>
        <w:tc>
          <w:tcPr>
            <w:tcW w:w="468" w:type="dxa"/>
          </w:tcPr>
          <w:p w14:paraId="306ED779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5.</w:t>
            </w:r>
          </w:p>
        </w:tc>
        <w:tc>
          <w:tcPr>
            <w:tcW w:w="2610" w:type="dxa"/>
          </w:tcPr>
          <w:p w14:paraId="274CFEBF" w14:textId="77777777" w:rsidR="00C66FB6" w:rsidRDefault="004C020E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 w:rsidRPr="004C020E">
              <w:rPr>
                <w:rFonts w:ascii="Arial" w:hAnsi="Arial"/>
                <w:snapToGrid w:val="0"/>
                <w:color w:val="000000"/>
                <w:sz w:val="16"/>
              </w:rPr>
              <w:t>Organizational Boundary Approach</w:t>
            </w:r>
          </w:p>
        </w:tc>
        <w:tc>
          <w:tcPr>
            <w:tcW w:w="4770" w:type="dxa"/>
          </w:tcPr>
          <w:p w14:paraId="4FD5AB4B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The basis for reporting emissions data from partially owned or controlled assets:</w:t>
            </w:r>
          </w:p>
          <w:p w14:paraId="53194824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0BF17C80" w14:textId="77777777" w:rsidR="00C66FB6" w:rsidRDefault="00C66FB6" w:rsidP="007A25CE">
            <w:pPr>
              <w:numPr>
                <w:ilvl w:val="0"/>
                <w:numId w:val="18"/>
              </w:num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Equity Approach</w:t>
            </w:r>
          </w:p>
          <w:p w14:paraId="4A41F1CC" w14:textId="77777777" w:rsidR="00C66FB6" w:rsidRDefault="00C66FB6" w:rsidP="007A25CE">
            <w:pPr>
              <w:numPr>
                <w:ilvl w:val="0"/>
                <w:numId w:val="18"/>
              </w:num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Control Approach:</w:t>
            </w:r>
          </w:p>
          <w:p w14:paraId="5EE5FAE5" w14:textId="77777777" w:rsidR="00C66FB6" w:rsidRDefault="00C66FB6" w:rsidP="007A25CE">
            <w:pPr>
              <w:numPr>
                <w:ilvl w:val="0"/>
                <w:numId w:val="19"/>
              </w:numPr>
              <w:tabs>
                <w:tab w:val="left" w:pos="463"/>
              </w:tabs>
              <w:ind w:left="792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Financial control criterion</w:t>
            </w:r>
          </w:p>
          <w:p w14:paraId="37D71096" w14:textId="77777777" w:rsidR="00C66FB6" w:rsidRDefault="00C66FB6" w:rsidP="007A25CE">
            <w:pPr>
              <w:numPr>
                <w:ilvl w:val="0"/>
                <w:numId w:val="19"/>
              </w:numPr>
              <w:tabs>
                <w:tab w:val="left" w:pos="463"/>
              </w:tabs>
              <w:ind w:left="792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Operational control criterion</w:t>
            </w:r>
          </w:p>
        </w:tc>
        <w:tc>
          <w:tcPr>
            <w:tcW w:w="6660" w:type="dxa"/>
          </w:tcPr>
          <w:p w14:paraId="50A42BD3" w14:textId="3481B6AB" w:rsidR="00C66FB6" w:rsidRDefault="007A44B2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</w:t>
            </w:r>
            <w:r w:rsidR="00C66FB6">
              <w:rPr>
                <w:rFonts w:ascii="Arial" w:hAnsi="Arial"/>
                <w:snapToGrid w:val="0"/>
                <w:color w:val="000000"/>
                <w:sz w:val="16"/>
              </w:rPr>
              <w:t xml:space="preserve">ow is operational control defined?  How is equity defined (e.g., based on financial ownership or value derived from </w:t>
            </w:r>
            <w:r w:rsidR="00575087">
              <w:rPr>
                <w:rFonts w:ascii="Arial" w:hAnsi="Arial"/>
                <w:snapToGrid w:val="0"/>
                <w:color w:val="000000"/>
                <w:sz w:val="16"/>
              </w:rPr>
              <w:t>organization</w:t>
            </w:r>
            <w:r w:rsidR="00C66FB6">
              <w:rPr>
                <w:rFonts w:ascii="Arial" w:hAnsi="Arial"/>
                <w:snapToGrid w:val="0"/>
                <w:color w:val="000000"/>
                <w:sz w:val="16"/>
              </w:rPr>
              <w:t>)?</w:t>
            </w:r>
          </w:p>
          <w:p w14:paraId="4532159E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2D7431AE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Are leases adequately addressed?</w:t>
            </w:r>
          </w:p>
        </w:tc>
      </w:tr>
      <w:tr w:rsidR="00C66FB6" w14:paraId="66B0F21D" w14:textId="77777777" w:rsidTr="007A25CE">
        <w:trPr>
          <w:cantSplit/>
        </w:trPr>
        <w:tc>
          <w:tcPr>
            <w:tcW w:w="468" w:type="dxa"/>
          </w:tcPr>
          <w:p w14:paraId="44E84BFE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6.</w:t>
            </w:r>
          </w:p>
        </w:tc>
        <w:tc>
          <w:tcPr>
            <w:tcW w:w="2610" w:type="dxa"/>
          </w:tcPr>
          <w:p w14:paraId="1EB82658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Facilities List</w:t>
            </w:r>
          </w:p>
        </w:tc>
        <w:tc>
          <w:tcPr>
            <w:tcW w:w="4770" w:type="dxa"/>
          </w:tcPr>
          <w:p w14:paraId="19A3B3FF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 list of all facilities with location, % ownership, or % control.</w:t>
            </w:r>
          </w:p>
          <w:p w14:paraId="383CEFB1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14C419AB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Define if inventory is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napToGrid w:val="0"/>
                    <w:color w:val="000000"/>
                    <w:sz w:val="16"/>
                  </w:rPr>
                  <w:t>U.S.</w:t>
                </w:r>
              </w:smartTag>
            </w:smartTag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only or includes optional non-U.S. operations.</w:t>
            </w:r>
          </w:p>
          <w:p w14:paraId="421969B9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63F9A550" w14:textId="77777777" w:rsidR="00C07250" w:rsidRDefault="00C07250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Define the process for identifying facilities.</w:t>
            </w:r>
          </w:p>
        </w:tc>
        <w:tc>
          <w:tcPr>
            <w:tcW w:w="6660" w:type="dxa"/>
          </w:tcPr>
          <w:p w14:paraId="7B47D65C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Is the list complete and does it include all facilities (including leases if applicable)?  Are fleet vehicles also included if not assigned to a facility?</w:t>
            </w:r>
          </w:p>
          <w:p w14:paraId="0DF781A2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6B34E137" w14:textId="6F49932A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How does the list compare to other public sources listing </w:t>
            </w:r>
            <w:r w:rsidR="00575087">
              <w:rPr>
                <w:rFonts w:ascii="Arial" w:hAnsi="Arial"/>
                <w:snapToGrid w:val="0"/>
                <w:color w:val="000000"/>
                <w:sz w:val="16"/>
              </w:rPr>
              <w:t>organization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holdings?  Is there a method for </w:t>
            </w:r>
            <w:r w:rsidR="00C07250" w:rsidRPr="00C07250">
              <w:rPr>
                <w:rFonts w:ascii="Arial" w:hAnsi="Arial"/>
                <w:snapToGrid w:val="0"/>
                <w:color w:val="000000"/>
                <w:sz w:val="16"/>
              </w:rPr>
              <w:t>identifying facilities to ensure that all are included, both for the initial inventor</w:t>
            </w:r>
            <w:r w:rsidR="00C07250">
              <w:rPr>
                <w:rFonts w:ascii="Arial" w:hAnsi="Arial"/>
                <w:snapToGrid w:val="0"/>
                <w:color w:val="000000"/>
                <w:sz w:val="16"/>
              </w:rPr>
              <w:t>y and then each subsequent year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?</w:t>
            </w:r>
          </w:p>
        </w:tc>
      </w:tr>
      <w:tr w:rsidR="00C66FB6" w14:paraId="65891293" w14:textId="77777777" w:rsidTr="007A25CE">
        <w:trPr>
          <w:cantSplit/>
        </w:trPr>
        <w:tc>
          <w:tcPr>
            <w:tcW w:w="468" w:type="dxa"/>
          </w:tcPr>
          <w:p w14:paraId="2D453B8C" w14:textId="77777777" w:rsidR="00C66FB6" w:rsidRDefault="00C66FB6" w:rsidP="007A25CE">
            <w:pPr>
              <w:pStyle w:val="Bullet"/>
              <w:tabs>
                <w:tab w:val="left" w:pos="463"/>
                <w:tab w:val="left" w:pos="3113"/>
              </w:tabs>
              <w:spacing w:after="0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br w:type="page"/>
            </w:r>
          </w:p>
        </w:tc>
        <w:tc>
          <w:tcPr>
            <w:tcW w:w="2610" w:type="dxa"/>
          </w:tcPr>
          <w:p w14:paraId="540A2ABF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ab/>
            </w:r>
            <w:r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  <w:t>Operational</w:t>
            </w:r>
          </w:p>
        </w:tc>
        <w:tc>
          <w:tcPr>
            <w:tcW w:w="4770" w:type="dxa"/>
          </w:tcPr>
          <w:p w14:paraId="2516C6C4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</w:pPr>
          </w:p>
        </w:tc>
        <w:tc>
          <w:tcPr>
            <w:tcW w:w="6660" w:type="dxa"/>
          </w:tcPr>
          <w:p w14:paraId="75D41DD3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C66FB6" w14:paraId="3AFA41A4" w14:textId="77777777" w:rsidTr="007A25CE">
        <w:trPr>
          <w:cantSplit/>
        </w:trPr>
        <w:tc>
          <w:tcPr>
            <w:tcW w:w="468" w:type="dxa"/>
          </w:tcPr>
          <w:p w14:paraId="569A7308" w14:textId="77777777" w:rsidR="00C66FB6" w:rsidRDefault="00C66FB6" w:rsidP="007A25CE">
            <w:pPr>
              <w:tabs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7.</w:t>
            </w:r>
          </w:p>
        </w:tc>
        <w:tc>
          <w:tcPr>
            <w:tcW w:w="2610" w:type="dxa"/>
          </w:tcPr>
          <w:p w14:paraId="7E3BEDBE" w14:textId="77777777" w:rsidR="00C66FB6" w:rsidRDefault="00C66FB6" w:rsidP="007A25CE">
            <w:pPr>
              <w:tabs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GHG List</w:t>
            </w:r>
          </w:p>
        </w:tc>
        <w:tc>
          <w:tcPr>
            <w:tcW w:w="4770" w:type="dxa"/>
          </w:tcPr>
          <w:p w14:paraId="5C1C8B2E" w14:textId="749F9250" w:rsidR="00C66FB6" w:rsidRDefault="00C66FB6" w:rsidP="007A25CE">
            <w:pPr>
              <w:tabs>
                <w:tab w:val="left" w:pos="3113"/>
              </w:tabs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 list of GHGs included in inventory</w:t>
            </w:r>
            <w:r w:rsidR="00C07250">
              <w:rPr>
                <w:rFonts w:ascii="Arial" w:hAnsi="Arial"/>
                <w:snapToGrid w:val="0"/>
                <w:color w:val="000000"/>
                <w:sz w:val="16"/>
              </w:rPr>
              <w:t xml:space="preserve">, and those which are not emitted from </w:t>
            </w:r>
            <w:r w:rsidR="00575087">
              <w:rPr>
                <w:rFonts w:ascii="Arial" w:hAnsi="Arial"/>
                <w:snapToGrid w:val="0"/>
                <w:color w:val="000000"/>
                <w:sz w:val="16"/>
              </w:rPr>
              <w:t>organization</w:t>
            </w:r>
            <w:r w:rsidR="00C07250">
              <w:rPr>
                <w:rFonts w:ascii="Arial" w:hAnsi="Arial"/>
                <w:snapToGrid w:val="0"/>
                <w:color w:val="000000"/>
                <w:sz w:val="16"/>
              </w:rPr>
              <w:t xml:space="preserve"> operations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6660" w:type="dxa"/>
          </w:tcPr>
          <w:p w14:paraId="4E1458F9" w14:textId="41ED8478" w:rsidR="00C66FB6" w:rsidRDefault="00C66FB6" w:rsidP="007A25CE">
            <w:pPr>
              <w:tabs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Are all of the </w:t>
            </w:r>
            <w:r w:rsidR="00575087">
              <w:rPr>
                <w:rFonts w:ascii="Arial" w:hAnsi="Arial"/>
                <w:snapToGrid w:val="0"/>
                <w:color w:val="000000"/>
                <w:sz w:val="16"/>
              </w:rPr>
              <w:t xml:space="preserve">seven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major GHGs (CO</w:t>
            </w:r>
            <w:r>
              <w:rPr>
                <w:rFonts w:ascii="Arial" w:hAnsi="Arial"/>
                <w:snapToGrid w:val="0"/>
                <w:color w:val="000000"/>
                <w:sz w:val="16"/>
                <w:vertAlign w:val="subscript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, CH</w:t>
            </w:r>
            <w:r>
              <w:rPr>
                <w:rFonts w:ascii="Arial" w:hAnsi="Arial"/>
                <w:snapToGrid w:val="0"/>
                <w:color w:val="000000"/>
                <w:sz w:val="16"/>
                <w:vertAlign w:val="subscript"/>
              </w:rPr>
              <w:t>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, N</w:t>
            </w:r>
            <w:r>
              <w:rPr>
                <w:rFonts w:ascii="Arial" w:hAnsi="Arial"/>
                <w:snapToGrid w:val="0"/>
                <w:color w:val="000000"/>
                <w:sz w:val="16"/>
                <w:vertAlign w:val="subscript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O, HFCs, PFCs, SF</w:t>
            </w:r>
            <w:r>
              <w:rPr>
                <w:rFonts w:ascii="Arial" w:hAnsi="Arial"/>
                <w:snapToGrid w:val="0"/>
                <w:color w:val="000000"/>
                <w:sz w:val="16"/>
                <w:vertAlign w:val="subscript"/>
              </w:rPr>
              <w:t>6</w:t>
            </w:r>
            <w:r w:rsidR="00575087">
              <w:rPr>
                <w:rFonts w:ascii="Arial" w:hAnsi="Arial"/>
                <w:snapToGrid w:val="0"/>
                <w:color w:val="000000"/>
                <w:sz w:val="16"/>
                <w:vertAlign w:val="subscript"/>
              </w:rPr>
              <w:t xml:space="preserve">, </w:t>
            </w:r>
            <w:r w:rsidR="00575087" w:rsidRPr="004872CC">
              <w:rPr>
                <w:rFonts w:ascii="Arial" w:hAnsi="Arial"/>
                <w:snapToGrid w:val="0"/>
                <w:color w:val="000000"/>
                <w:sz w:val="16"/>
              </w:rPr>
              <w:t>and NF</w:t>
            </w:r>
            <w:r w:rsidR="00575087">
              <w:rPr>
                <w:rFonts w:ascii="Arial" w:hAnsi="Arial"/>
                <w:snapToGrid w:val="0"/>
                <w:color w:val="000000"/>
                <w:sz w:val="16"/>
                <w:vertAlign w:val="subscript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) </w:t>
            </w:r>
            <w:r w:rsidR="00B9408A">
              <w:rPr>
                <w:rFonts w:ascii="Arial" w:hAnsi="Arial"/>
                <w:snapToGrid w:val="0"/>
                <w:color w:val="000000"/>
                <w:sz w:val="16"/>
              </w:rPr>
              <w:t>accounted for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?  Are small sources of a GHG overlooked? Has</w:t>
            </w:r>
            <w:r w:rsidR="00575087">
              <w:rPr>
                <w:rFonts w:ascii="Arial" w:hAnsi="Arial"/>
                <w:snapToGrid w:val="0"/>
                <w:color w:val="000000"/>
                <w:sz w:val="16"/>
              </w:rPr>
              <w:t xml:space="preserve"> the </w:t>
            </w:r>
            <w:r w:rsidR="004872CC">
              <w:rPr>
                <w:rFonts w:ascii="Arial" w:hAnsi="Arial"/>
                <w:snapToGrid w:val="0"/>
                <w:color w:val="000000"/>
                <w:sz w:val="16"/>
              </w:rPr>
              <w:t>o</w:t>
            </w:r>
            <w:r w:rsidR="00575087">
              <w:rPr>
                <w:rFonts w:ascii="Arial" w:hAnsi="Arial"/>
                <w:snapToGrid w:val="0"/>
                <w:color w:val="000000"/>
                <w:sz w:val="16"/>
              </w:rPr>
              <w:t>rganization</w:t>
            </w:r>
            <w:r w:rsidR="004872CC"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at least made an estimate of the emissions from small sources and included those estimates in their inventory?  </w:t>
            </w:r>
          </w:p>
          <w:p w14:paraId="7DA62C8F" w14:textId="77777777" w:rsidR="00C66FB6" w:rsidRDefault="00C66FB6" w:rsidP="007A25CE">
            <w:pPr>
              <w:tabs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6B085D90" w14:textId="77777777" w:rsidR="00C66FB6" w:rsidRDefault="00C66FB6" w:rsidP="007A25CE">
            <w:pPr>
              <w:tabs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How does the GHG list compare to the list of emission sources specified in </w:t>
            </w:r>
            <w:r w:rsidRPr="00F6582B">
              <w:rPr>
                <w:rFonts w:ascii="Arial" w:hAnsi="Arial"/>
                <w:snapToGrid w:val="0"/>
                <w:color w:val="000000"/>
                <w:sz w:val="16"/>
              </w:rPr>
              <w:t>#9 and #10?</w:t>
            </w:r>
          </w:p>
        </w:tc>
      </w:tr>
      <w:tr w:rsidR="00C66FB6" w14:paraId="41A30DFF" w14:textId="77777777" w:rsidTr="007A25CE">
        <w:trPr>
          <w:cantSplit/>
        </w:trPr>
        <w:tc>
          <w:tcPr>
            <w:tcW w:w="468" w:type="dxa"/>
          </w:tcPr>
          <w:p w14:paraId="2DB512D0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lastRenderedPageBreak/>
              <w:t>8.</w:t>
            </w:r>
          </w:p>
        </w:tc>
        <w:tc>
          <w:tcPr>
            <w:tcW w:w="2610" w:type="dxa"/>
          </w:tcPr>
          <w:p w14:paraId="169F6E10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Emission Source Identification Procedure</w:t>
            </w:r>
          </w:p>
        </w:tc>
        <w:tc>
          <w:tcPr>
            <w:tcW w:w="4770" w:type="dxa"/>
          </w:tcPr>
          <w:p w14:paraId="7D4E0DA3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 description of the procedure / method used to identify </w:t>
            </w:r>
            <w:r w:rsidR="00B9408A">
              <w:rPr>
                <w:rFonts w:ascii="Arial" w:hAnsi="Arial"/>
                <w:snapToGrid w:val="0"/>
                <w:color w:val="000000"/>
                <w:sz w:val="16"/>
              </w:rPr>
              <w:t xml:space="preserve">each of the </w:t>
            </w:r>
            <w:r w:rsidR="004872CC">
              <w:rPr>
                <w:rFonts w:ascii="Arial" w:hAnsi="Arial"/>
                <w:snapToGrid w:val="0"/>
                <w:color w:val="000000"/>
                <w:sz w:val="16"/>
              </w:rPr>
              <w:t xml:space="preserve">scope 1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direct</w:t>
            </w:r>
            <w:r w:rsidR="004872CC">
              <w:rPr>
                <w:rFonts w:ascii="Arial" w:hAnsi="Arial"/>
                <w:snapToGrid w:val="0"/>
                <w:color w:val="000000"/>
                <w:sz w:val="16"/>
              </w:rPr>
              <w:t>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and </w:t>
            </w:r>
            <w:r w:rsidR="004872CC">
              <w:rPr>
                <w:rFonts w:ascii="Arial" w:hAnsi="Arial"/>
                <w:snapToGrid w:val="0"/>
                <w:color w:val="000000"/>
                <w:sz w:val="16"/>
              </w:rPr>
              <w:t xml:space="preserve">scope 2 and scope 3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indirect emission sources.</w:t>
            </w:r>
          </w:p>
        </w:tc>
        <w:tc>
          <w:tcPr>
            <w:tcW w:w="6660" w:type="dxa"/>
          </w:tcPr>
          <w:p w14:paraId="366E1E67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Is the procedure likely to identify all sources?  Has the procedure captured all stationary, mobile, indirect, process, and fugitive sources, including small sources?  </w:t>
            </w:r>
            <w:r w:rsidR="004C020E" w:rsidRPr="004C020E">
              <w:rPr>
                <w:rFonts w:ascii="Arial" w:hAnsi="Arial"/>
                <w:snapToGrid w:val="0"/>
                <w:color w:val="000000"/>
                <w:sz w:val="16"/>
              </w:rPr>
              <w:t xml:space="preserve">If a new source is added (e.g. emergency generator), </w:t>
            </w:r>
            <w:r w:rsidR="004C020E">
              <w:rPr>
                <w:rFonts w:ascii="Arial" w:hAnsi="Arial"/>
                <w:snapToGrid w:val="0"/>
                <w:color w:val="000000"/>
                <w:sz w:val="16"/>
              </w:rPr>
              <w:t xml:space="preserve">what is the process to ensure that it is </w:t>
            </w:r>
            <w:r w:rsidR="004C020E" w:rsidRPr="004C020E">
              <w:rPr>
                <w:rFonts w:ascii="Arial" w:hAnsi="Arial"/>
                <w:snapToGrid w:val="0"/>
                <w:color w:val="000000"/>
                <w:sz w:val="16"/>
              </w:rPr>
              <w:t>included in the inventory?</w:t>
            </w:r>
          </w:p>
          <w:p w14:paraId="39911662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0E147397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Does the emissions source identification procedure include </w:t>
            </w:r>
            <w:r w:rsidR="004C020E">
              <w:rPr>
                <w:rFonts w:ascii="Arial" w:hAnsi="Arial"/>
                <w:snapToGrid w:val="0"/>
                <w:color w:val="000000"/>
                <w:sz w:val="16"/>
              </w:rPr>
              <w:t xml:space="preserve">coordinating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with all the appropriate people, whose roles and responsibilities are defined in </w:t>
            </w:r>
            <w:r w:rsidRPr="00F6582B">
              <w:rPr>
                <w:rFonts w:ascii="Arial" w:hAnsi="Arial"/>
                <w:snapToGrid w:val="0"/>
                <w:color w:val="000000"/>
                <w:sz w:val="16"/>
              </w:rPr>
              <w:t>#24?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</w:p>
        </w:tc>
      </w:tr>
      <w:tr w:rsidR="00C66FB6" w14:paraId="3D95B84C" w14:textId="77777777" w:rsidTr="007A25CE">
        <w:trPr>
          <w:cantSplit/>
        </w:trPr>
        <w:tc>
          <w:tcPr>
            <w:tcW w:w="468" w:type="dxa"/>
          </w:tcPr>
          <w:p w14:paraId="275CB493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9.</w:t>
            </w:r>
          </w:p>
        </w:tc>
        <w:tc>
          <w:tcPr>
            <w:tcW w:w="2610" w:type="dxa"/>
          </w:tcPr>
          <w:p w14:paraId="2A882313" w14:textId="77777777" w:rsidR="00C66FB6" w:rsidRDefault="004872CC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Organization-Wide Scope 1 </w:t>
            </w:r>
            <w:r w:rsidR="00C66FB6">
              <w:rPr>
                <w:rFonts w:ascii="Arial" w:hAnsi="Arial"/>
                <w:snapToGrid w:val="0"/>
                <w:color w:val="000000"/>
                <w:sz w:val="16"/>
              </w:rPr>
              <w:t>Direct Sources</w:t>
            </w:r>
          </w:p>
        </w:tc>
        <w:tc>
          <w:tcPr>
            <w:tcW w:w="4770" w:type="dxa"/>
          </w:tcPr>
          <w:p w14:paraId="43B6682B" w14:textId="5B40D64B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 list of groups of sources by emission category </w:t>
            </w:r>
            <w:r w:rsidR="00CA6C14">
              <w:rPr>
                <w:rFonts w:ascii="Arial" w:hAnsi="Arial"/>
                <w:snapToGrid w:val="0"/>
                <w:color w:val="000000"/>
                <w:sz w:val="16"/>
              </w:rPr>
              <w:t xml:space="preserve">for all scope 1 direct sources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(e.g., under stationary combustion: thermal oxidizers, engines, flares, etc.).</w:t>
            </w:r>
          </w:p>
          <w:p w14:paraId="47C71269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3B1A295A" w14:textId="3B8A2E00" w:rsidR="00C66FB6" w:rsidRDefault="00C66FB6" w:rsidP="007A25CE">
            <w:pPr>
              <w:pStyle w:val="BodyText2"/>
            </w:pPr>
          </w:p>
        </w:tc>
        <w:tc>
          <w:tcPr>
            <w:tcW w:w="6660" w:type="dxa"/>
          </w:tcPr>
          <w:p w14:paraId="75B1280D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Are all direct emission sources included (stationary, mobile, fugitive, and process)?</w:t>
            </w:r>
          </w:p>
          <w:p w14:paraId="285A6A11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2FA3E505" w14:textId="4FFFD6B2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How does this list compare with other </w:t>
            </w:r>
            <w:r w:rsidR="00575087">
              <w:rPr>
                <w:rFonts w:ascii="Arial" w:hAnsi="Arial"/>
                <w:snapToGrid w:val="0"/>
                <w:color w:val="000000"/>
                <w:sz w:val="16"/>
              </w:rPr>
              <w:t>organization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lists of emissions sources (e.g., a site’s Title V air permit that has a list of all major stationary sources of regulated emissions)?</w:t>
            </w:r>
          </w:p>
        </w:tc>
      </w:tr>
      <w:tr w:rsidR="00C66FB6" w14:paraId="7E2DEA74" w14:textId="77777777" w:rsidTr="007A25CE">
        <w:trPr>
          <w:cantSplit/>
        </w:trPr>
        <w:tc>
          <w:tcPr>
            <w:tcW w:w="468" w:type="dxa"/>
          </w:tcPr>
          <w:p w14:paraId="33CC2064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10.</w:t>
            </w:r>
          </w:p>
        </w:tc>
        <w:tc>
          <w:tcPr>
            <w:tcW w:w="2610" w:type="dxa"/>
          </w:tcPr>
          <w:p w14:paraId="39035B91" w14:textId="24DC421B" w:rsidR="00C66FB6" w:rsidRDefault="004872CC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Organization-Wide Scope 2 </w:t>
            </w:r>
            <w:r w:rsidR="00C66FB6">
              <w:rPr>
                <w:rFonts w:ascii="Arial" w:hAnsi="Arial"/>
                <w:snapToGrid w:val="0"/>
                <w:color w:val="000000"/>
                <w:sz w:val="16"/>
              </w:rPr>
              <w:t>Indirect Sources</w:t>
            </w:r>
          </w:p>
        </w:tc>
        <w:tc>
          <w:tcPr>
            <w:tcW w:w="4770" w:type="dxa"/>
          </w:tcPr>
          <w:p w14:paraId="50DCAF34" w14:textId="3CC853A2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 list of </w:t>
            </w:r>
            <w:r w:rsidR="00120A12">
              <w:rPr>
                <w:rFonts w:ascii="Arial" w:hAnsi="Arial"/>
                <w:snapToGrid w:val="0"/>
                <w:color w:val="000000"/>
                <w:sz w:val="16"/>
              </w:rPr>
              <w:t xml:space="preserve">scope 2 indirect sources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(e.g., steam, electricity, hot water, ).</w:t>
            </w:r>
          </w:p>
        </w:tc>
        <w:tc>
          <w:tcPr>
            <w:tcW w:w="6660" w:type="dxa"/>
          </w:tcPr>
          <w:p w14:paraId="3D3A3C73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Are all indirect emission sources included (purchased electricity, steam, and hot water)?</w:t>
            </w:r>
          </w:p>
        </w:tc>
      </w:tr>
      <w:tr w:rsidR="00C66FB6" w14:paraId="128D264C" w14:textId="77777777" w:rsidTr="007A25CE">
        <w:trPr>
          <w:cantSplit/>
        </w:trPr>
        <w:tc>
          <w:tcPr>
            <w:tcW w:w="468" w:type="dxa"/>
          </w:tcPr>
          <w:p w14:paraId="42886CCF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11.</w:t>
            </w:r>
          </w:p>
        </w:tc>
        <w:tc>
          <w:tcPr>
            <w:tcW w:w="2610" w:type="dxa"/>
          </w:tcPr>
          <w:p w14:paraId="06C32708" w14:textId="6C3D3734" w:rsidR="00C66FB6" w:rsidRDefault="00B2445A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Organization-wide Scope 3 Indirect Sources</w:t>
            </w:r>
          </w:p>
        </w:tc>
        <w:tc>
          <w:tcPr>
            <w:tcW w:w="4770" w:type="dxa"/>
          </w:tcPr>
          <w:p w14:paraId="07BD0B9E" w14:textId="3ACDF6A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 list of </w:t>
            </w:r>
            <w:r w:rsidR="004872CC">
              <w:rPr>
                <w:rFonts w:ascii="Arial" w:hAnsi="Arial"/>
                <w:snapToGrid w:val="0"/>
                <w:color w:val="000000"/>
                <w:sz w:val="16"/>
              </w:rPr>
              <w:t xml:space="preserve">the Scope 3 indirect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emission sources that are accounted for in the inventory (e.g.,</w:t>
            </w:r>
            <w:r w:rsidR="00B9408A">
              <w:t xml:space="preserve"> </w:t>
            </w:r>
            <w:r w:rsidR="00CA6C14" w:rsidRPr="00F6582B">
              <w:rPr>
                <w:rFonts w:ascii="Arial" w:hAnsi="Arial"/>
                <w:snapToGrid w:val="0"/>
                <w:color w:val="000000"/>
                <w:sz w:val="16"/>
              </w:rPr>
              <w:t xml:space="preserve">purchased goods and services, </w:t>
            </w:r>
            <w:r w:rsidR="00B9408A" w:rsidRPr="00B9408A">
              <w:rPr>
                <w:rFonts w:ascii="Arial" w:hAnsi="Arial"/>
                <w:snapToGrid w:val="0"/>
                <w:color w:val="000000"/>
                <w:sz w:val="16"/>
              </w:rPr>
              <w:t xml:space="preserve">business travel, product transport, employee </w:t>
            </w:r>
            <w:proofErr w:type="spellStart"/>
            <w:proofErr w:type="gramStart"/>
            <w:r w:rsidR="00B9408A" w:rsidRPr="00B9408A">
              <w:rPr>
                <w:rFonts w:ascii="Arial" w:hAnsi="Arial"/>
                <w:snapToGrid w:val="0"/>
                <w:color w:val="000000"/>
                <w:sz w:val="16"/>
              </w:rPr>
              <w:t>commuting,</w:t>
            </w:r>
            <w:r w:rsidR="00CA6C14">
              <w:rPr>
                <w:rFonts w:ascii="Arial" w:hAnsi="Arial"/>
                <w:snapToGrid w:val="0"/>
                <w:color w:val="000000"/>
                <w:sz w:val="16"/>
              </w:rPr>
              <w:t>use</w:t>
            </w:r>
            <w:proofErr w:type="spellEnd"/>
            <w:proofErr w:type="gramEnd"/>
            <w:r w:rsidR="00CA6C14">
              <w:rPr>
                <w:rFonts w:ascii="Arial" w:hAnsi="Arial"/>
                <w:snapToGrid w:val="0"/>
                <w:color w:val="000000"/>
                <w:sz w:val="16"/>
              </w:rPr>
              <w:t xml:space="preserve"> of sold products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)</w:t>
            </w:r>
          </w:p>
        </w:tc>
        <w:tc>
          <w:tcPr>
            <w:tcW w:w="6660" w:type="dxa"/>
          </w:tcPr>
          <w:p w14:paraId="7A73583A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Are optional sources included accurately (i.e. entire emissions source accounted for and not just the reductions)?</w:t>
            </w:r>
          </w:p>
          <w:p w14:paraId="360CB33D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204502E7" w14:textId="3D6B840D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Are the optional sources included relevant to the </w:t>
            </w:r>
            <w:r w:rsidR="00575087">
              <w:rPr>
                <w:rFonts w:ascii="Arial" w:hAnsi="Arial"/>
                <w:snapToGrid w:val="0"/>
                <w:color w:val="000000"/>
                <w:sz w:val="16"/>
              </w:rPr>
              <w:t>organization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profile?  </w:t>
            </w:r>
          </w:p>
        </w:tc>
      </w:tr>
      <w:tr w:rsidR="00081CF4" w14:paraId="0881C717" w14:textId="77777777" w:rsidTr="007A25CE">
        <w:trPr>
          <w:cantSplit/>
        </w:trPr>
        <w:tc>
          <w:tcPr>
            <w:tcW w:w="468" w:type="dxa"/>
          </w:tcPr>
          <w:p w14:paraId="4C02E4EF" w14:textId="77777777" w:rsidR="00081CF4" w:rsidRDefault="00081CF4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12.</w:t>
            </w:r>
          </w:p>
        </w:tc>
        <w:tc>
          <w:tcPr>
            <w:tcW w:w="2610" w:type="dxa"/>
          </w:tcPr>
          <w:p w14:paraId="26158EED" w14:textId="77777777" w:rsidR="00081CF4" w:rsidRDefault="00081CF4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RECs</w:t>
            </w:r>
          </w:p>
        </w:tc>
        <w:tc>
          <w:tcPr>
            <w:tcW w:w="4770" w:type="dxa"/>
          </w:tcPr>
          <w:p w14:paraId="2418D55E" w14:textId="3727CBCE" w:rsidR="00081CF4" w:rsidRPr="00081CF4" w:rsidRDefault="00081CF4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 w:rsidRPr="00081CF4">
              <w:rPr>
                <w:rFonts w:ascii="Arial" w:hAnsi="Arial"/>
                <w:snapToGrid w:val="0"/>
                <w:color w:val="000000"/>
                <w:sz w:val="16"/>
              </w:rPr>
              <w:t>Use of RECs to reduce GHG emissions.</w:t>
            </w:r>
            <w:r w:rsidR="00C73C9A"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 w:rsidRPr="00081CF4">
              <w:rPr>
                <w:rFonts w:ascii="Arial" w:hAnsi="Arial"/>
                <w:snapToGrid w:val="0"/>
                <w:color w:val="000000"/>
                <w:sz w:val="16"/>
              </w:rPr>
              <w:t xml:space="preserve">State whether the </w:t>
            </w:r>
            <w:r w:rsidR="00575087">
              <w:rPr>
                <w:rFonts w:ascii="Arial" w:hAnsi="Arial"/>
                <w:snapToGrid w:val="0"/>
                <w:color w:val="000000"/>
                <w:sz w:val="16"/>
              </w:rPr>
              <w:t>organization</w:t>
            </w:r>
            <w:r w:rsidRPr="00081CF4">
              <w:rPr>
                <w:rFonts w:ascii="Arial" w:hAnsi="Arial"/>
                <w:snapToGrid w:val="0"/>
                <w:color w:val="000000"/>
                <w:sz w:val="16"/>
              </w:rPr>
              <w:t xml:space="preserve"> will use green power to reduce its</w:t>
            </w:r>
            <w:r w:rsidR="00120A12">
              <w:rPr>
                <w:rFonts w:ascii="Arial" w:hAnsi="Arial"/>
                <w:snapToGrid w:val="0"/>
                <w:color w:val="000000"/>
                <w:sz w:val="16"/>
              </w:rPr>
              <w:t xml:space="preserve"> Scope 2</w:t>
            </w:r>
            <w:r w:rsidRPr="00081CF4">
              <w:rPr>
                <w:rFonts w:ascii="Arial" w:hAnsi="Arial"/>
                <w:snapToGrid w:val="0"/>
                <w:color w:val="000000"/>
                <w:sz w:val="16"/>
              </w:rPr>
              <w:t xml:space="preserve"> indirect electricity emissions</w:t>
            </w:r>
            <w:r w:rsidR="00120A12">
              <w:rPr>
                <w:rFonts w:ascii="Arial" w:hAnsi="Arial"/>
                <w:snapToGrid w:val="0"/>
                <w:color w:val="000000"/>
                <w:sz w:val="16"/>
              </w:rPr>
              <w:t xml:space="preserve">. </w:t>
            </w:r>
            <w:r w:rsidRPr="00081CF4"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 w:rsidR="00120A12">
              <w:rPr>
                <w:rFonts w:ascii="Arial" w:hAnsi="Arial"/>
                <w:snapToGrid w:val="0"/>
                <w:color w:val="000000"/>
                <w:sz w:val="16"/>
              </w:rPr>
              <w:t xml:space="preserve">These emissions should be </w:t>
            </w:r>
            <w:r w:rsidR="00665770">
              <w:rPr>
                <w:rFonts w:ascii="Arial" w:hAnsi="Arial"/>
                <w:snapToGrid w:val="0"/>
                <w:color w:val="000000"/>
                <w:sz w:val="16"/>
              </w:rPr>
              <w:t>reflected</w:t>
            </w:r>
            <w:r w:rsidR="00120A12">
              <w:rPr>
                <w:rFonts w:ascii="Arial" w:hAnsi="Arial"/>
                <w:snapToGrid w:val="0"/>
                <w:color w:val="000000"/>
                <w:sz w:val="16"/>
              </w:rPr>
              <w:t xml:space="preserve"> in scope 2 market-based reporting. </w:t>
            </w:r>
          </w:p>
          <w:p w14:paraId="67BE449F" w14:textId="77777777" w:rsidR="00081CF4" w:rsidRDefault="00081CF4" w:rsidP="007A25CE">
            <w:pPr>
              <w:tabs>
                <w:tab w:val="left" w:pos="463"/>
                <w:tab w:val="left" w:pos="3113"/>
                <w:tab w:val="left" w:pos="3236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660" w:type="dxa"/>
          </w:tcPr>
          <w:p w14:paraId="166DAC90" w14:textId="64EA98A7" w:rsidR="00081CF4" w:rsidRDefault="003877C3" w:rsidP="007A25CE">
            <w:pPr>
              <w:tabs>
                <w:tab w:val="left" w:pos="463"/>
                <w:tab w:val="left" w:pos="3113"/>
                <w:tab w:val="left" w:pos="3236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Consider the type of renewable energy, age of facility, and vintage.  </w:t>
            </w:r>
          </w:p>
        </w:tc>
      </w:tr>
      <w:tr w:rsidR="00081CF4" w14:paraId="4A629DF8" w14:textId="77777777" w:rsidTr="007A25CE">
        <w:trPr>
          <w:cantSplit/>
        </w:trPr>
        <w:tc>
          <w:tcPr>
            <w:tcW w:w="468" w:type="dxa"/>
          </w:tcPr>
          <w:p w14:paraId="75BF685D" w14:textId="77777777" w:rsidR="00081CF4" w:rsidRDefault="00081CF4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13.</w:t>
            </w:r>
          </w:p>
        </w:tc>
        <w:tc>
          <w:tcPr>
            <w:tcW w:w="2610" w:type="dxa"/>
          </w:tcPr>
          <w:p w14:paraId="4B139BAA" w14:textId="77777777" w:rsidR="00081CF4" w:rsidRDefault="00081CF4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Offset Projects</w:t>
            </w:r>
          </w:p>
        </w:tc>
        <w:tc>
          <w:tcPr>
            <w:tcW w:w="4770" w:type="dxa"/>
          </w:tcPr>
          <w:p w14:paraId="4A47A78B" w14:textId="16EF3788" w:rsidR="00081CF4" w:rsidRDefault="00081CF4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 w:rsidRPr="00081CF4">
              <w:rPr>
                <w:rFonts w:ascii="Arial" w:hAnsi="Arial"/>
                <w:snapToGrid w:val="0"/>
                <w:color w:val="000000"/>
                <w:sz w:val="16"/>
              </w:rPr>
              <w:t>Use of Offset Projects to reduce GHG emissions.</w:t>
            </w:r>
            <w:r w:rsidR="00C73C9A"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 w:rsidRPr="00081CF4">
              <w:rPr>
                <w:rFonts w:ascii="Arial" w:hAnsi="Arial"/>
                <w:snapToGrid w:val="0"/>
                <w:color w:val="000000"/>
                <w:sz w:val="16"/>
              </w:rPr>
              <w:t xml:space="preserve">State whether the </w:t>
            </w:r>
            <w:r w:rsidR="00575087">
              <w:rPr>
                <w:rFonts w:ascii="Arial" w:hAnsi="Arial"/>
                <w:snapToGrid w:val="0"/>
                <w:color w:val="000000"/>
                <w:sz w:val="16"/>
              </w:rPr>
              <w:t>organization</w:t>
            </w:r>
            <w:r w:rsidRPr="00081CF4">
              <w:rPr>
                <w:rFonts w:ascii="Arial" w:hAnsi="Arial"/>
                <w:snapToGrid w:val="0"/>
                <w:color w:val="000000"/>
                <w:sz w:val="16"/>
              </w:rPr>
              <w:t xml:space="preserve"> will use offsets to help achieve its GHG reduction goal. </w:t>
            </w:r>
          </w:p>
        </w:tc>
        <w:tc>
          <w:tcPr>
            <w:tcW w:w="6660" w:type="dxa"/>
          </w:tcPr>
          <w:p w14:paraId="466C78C9" w14:textId="77777777" w:rsidR="00081CF4" w:rsidRDefault="00081CF4" w:rsidP="007A25CE">
            <w:pPr>
              <w:tabs>
                <w:tab w:val="left" w:pos="463"/>
                <w:tab w:val="left" w:pos="3113"/>
                <w:tab w:val="left" w:pos="3236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C66FB6" w14:paraId="6C6D5D4D" w14:textId="77777777" w:rsidTr="007A25CE">
        <w:trPr>
          <w:cantSplit/>
        </w:trPr>
        <w:tc>
          <w:tcPr>
            <w:tcW w:w="468" w:type="dxa"/>
            <w:shd w:val="pct50" w:color="auto" w:fill="FFFFFF"/>
          </w:tcPr>
          <w:p w14:paraId="445322F6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FFFFFF"/>
                <w:sz w:val="20"/>
              </w:rPr>
            </w:pPr>
          </w:p>
        </w:tc>
        <w:tc>
          <w:tcPr>
            <w:tcW w:w="2610" w:type="dxa"/>
            <w:shd w:val="pct50" w:color="auto" w:fill="FFFFFF"/>
          </w:tcPr>
          <w:p w14:paraId="44711879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FFFFFF"/>
                <w:sz w:val="18"/>
              </w:rPr>
              <w:t>Emissions Quantification</w:t>
            </w:r>
          </w:p>
        </w:tc>
        <w:tc>
          <w:tcPr>
            <w:tcW w:w="4770" w:type="dxa"/>
            <w:shd w:val="pct50" w:color="auto" w:fill="FFFFFF"/>
          </w:tcPr>
          <w:p w14:paraId="41C4C362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20"/>
              </w:rPr>
            </w:pPr>
          </w:p>
        </w:tc>
        <w:tc>
          <w:tcPr>
            <w:tcW w:w="6660" w:type="dxa"/>
            <w:shd w:val="pct50" w:color="auto" w:fill="FFFFFF"/>
          </w:tcPr>
          <w:p w14:paraId="34884FE2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20"/>
              </w:rPr>
            </w:pPr>
          </w:p>
        </w:tc>
      </w:tr>
      <w:tr w:rsidR="00C66FB6" w14:paraId="48379A55" w14:textId="77777777" w:rsidTr="007A25CE">
        <w:trPr>
          <w:cantSplit/>
        </w:trPr>
        <w:tc>
          <w:tcPr>
            <w:tcW w:w="468" w:type="dxa"/>
          </w:tcPr>
          <w:p w14:paraId="3AA148C3" w14:textId="77777777" w:rsidR="00C66FB6" w:rsidRDefault="00344337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14</w:t>
            </w:r>
            <w:r w:rsidR="00C66FB6"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2610" w:type="dxa"/>
          </w:tcPr>
          <w:p w14:paraId="587128FF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Quantification Method</w:t>
            </w:r>
          </w:p>
        </w:tc>
        <w:tc>
          <w:tcPr>
            <w:tcW w:w="4770" w:type="dxa"/>
          </w:tcPr>
          <w:p w14:paraId="083E9568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 description of the emission quantification methodologies and reference for each emission source and offset project.</w:t>
            </w:r>
          </w:p>
          <w:p w14:paraId="63F6774B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014B6126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Where multiple methods are used, specify which facility / source uses the respective method.</w:t>
            </w:r>
          </w:p>
        </w:tc>
        <w:tc>
          <w:tcPr>
            <w:tcW w:w="6660" w:type="dxa"/>
          </w:tcPr>
          <w:p w14:paraId="43DAADAB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Are the correct quantification methodologies being used?</w:t>
            </w:r>
          </w:p>
          <w:p w14:paraId="3745622C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7BD40A3F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Are the methods based on reliable accurate and current references?</w:t>
            </w:r>
          </w:p>
          <w:p w14:paraId="109A120B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01B2ECEB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C66FB6" w14:paraId="799668EE" w14:textId="77777777" w:rsidTr="007A25CE">
        <w:trPr>
          <w:cantSplit/>
        </w:trPr>
        <w:tc>
          <w:tcPr>
            <w:tcW w:w="468" w:type="dxa"/>
          </w:tcPr>
          <w:p w14:paraId="18289A1B" w14:textId="77777777" w:rsidR="00C66FB6" w:rsidRDefault="00344337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15</w:t>
            </w:r>
            <w:r w:rsidR="00C66FB6"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2610" w:type="dxa"/>
          </w:tcPr>
          <w:p w14:paraId="68ACC583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Emission</w:t>
            </w:r>
            <w:r w:rsidR="00422CC9">
              <w:rPr>
                <w:rFonts w:ascii="Arial" w:hAnsi="Arial"/>
                <w:snapToGrid w:val="0"/>
                <w:color w:val="000000"/>
                <w:sz w:val="16"/>
              </w:rPr>
              <w:t>s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Factors and Other Constants</w:t>
            </w:r>
          </w:p>
        </w:tc>
        <w:tc>
          <w:tcPr>
            <w:tcW w:w="4770" w:type="dxa"/>
          </w:tcPr>
          <w:p w14:paraId="47222C46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 list of emission</w:t>
            </w:r>
            <w:r w:rsidR="00422CC9">
              <w:rPr>
                <w:rFonts w:ascii="Arial" w:hAnsi="Arial"/>
                <w:snapToGrid w:val="0"/>
                <w:color w:val="000000"/>
                <w:sz w:val="16"/>
              </w:rPr>
              <w:t>s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factors and other constants and reference for factors and constants (i.e. Global Warming Potentials and conversion factors) for each emission category.  </w:t>
            </w:r>
          </w:p>
          <w:p w14:paraId="050952AC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51B550C6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Descriptions of the process for how </w:t>
            </w:r>
            <w:r w:rsidR="00B9408A">
              <w:rPr>
                <w:rFonts w:ascii="Arial" w:hAnsi="Arial"/>
                <w:snapToGrid w:val="0"/>
                <w:color w:val="000000"/>
                <w:sz w:val="16"/>
              </w:rPr>
              <w:t>emission</w:t>
            </w:r>
            <w:r w:rsidR="00422CC9">
              <w:rPr>
                <w:rFonts w:ascii="Arial" w:hAnsi="Arial"/>
                <w:snapToGrid w:val="0"/>
                <w:color w:val="000000"/>
                <w:sz w:val="16"/>
              </w:rPr>
              <w:t>s</w:t>
            </w:r>
            <w:r w:rsidR="00B9408A">
              <w:rPr>
                <w:rFonts w:ascii="Arial" w:hAnsi="Arial"/>
                <w:snapToGrid w:val="0"/>
                <w:color w:val="000000"/>
                <w:sz w:val="16"/>
              </w:rPr>
              <w:t xml:space="preserve"> factors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are kept current.</w:t>
            </w:r>
          </w:p>
          <w:p w14:paraId="33E88FED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7BE64253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Where multiple factors are used, specify which facility / source uses the respective factor.</w:t>
            </w:r>
          </w:p>
        </w:tc>
        <w:tc>
          <w:tcPr>
            <w:tcW w:w="6660" w:type="dxa"/>
          </w:tcPr>
          <w:p w14:paraId="4B8B5214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Are the correct emission</w:t>
            </w:r>
            <w:r w:rsidR="00422CC9">
              <w:rPr>
                <w:rFonts w:ascii="Arial" w:hAnsi="Arial"/>
                <w:snapToGrid w:val="0"/>
                <w:color w:val="000000"/>
                <w:sz w:val="16"/>
              </w:rPr>
              <w:t>s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factors being used, based on reliable accurate and current references?  Are factors updated annually?</w:t>
            </w:r>
          </w:p>
          <w:p w14:paraId="3AD8A0B5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239A189F" w14:textId="058403AF" w:rsidR="00C66FB6" w:rsidRDefault="004C020E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 w:rsidRPr="004C020E">
              <w:rPr>
                <w:rFonts w:ascii="Arial" w:hAnsi="Arial"/>
                <w:snapToGrid w:val="0"/>
                <w:color w:val="000000"/>
                <w:sz w:val="16"/>
              </w:rPr>
              <w:t xml:space="preserve">If the </w:t>
            </w:r>
            <w:r w:rsidR="00575087">
              <w:rPr>
                <w:rFonts w:ascii="Arial" w:hAnsi="Arial"/>
                <w:snapToGrid w:val="0"/>
                <w:color w:val="000000"/>
                <w:sz w:val="16"/>
              </w:rPr>
              <w:t>organization</w:t>
            </w:r>
            <w:r w:rsidRPr="004C020E">
              <w:rPr>
                <w:rFonts w:ascii="Arial" w:hAnsi="Arial"/>
                <w:snapToGrid w:val="0"/>
                <w:color w:val="000000"/>
                <w:sz w:val="16"/>
              </w:rPr>
              <w:t xml:space="preserve"> is using its own emissions factors, how </w:t>
            </w:r>
            <w:r w:rsidR="00C66FB6">
              <w:rPr>
                <w:rFonts w:ascii="Arial" w:hAnsi="Arial"/>
                <w:snapToGrid w:val="0"/>
                <w:color w:val="000000"/>
                <w:sz w:val="16"/>
              </w:rPr>
              <w:t xml:space="preserve">do the factors compare to </w:t>
            </w:r>
            <w:r w:rsidR="007A44B2">
              <w:rPr>
                <w:rFonts w:ascii="Arial" w:hAnsi="Arial"/>
                <w:snapToGrid w:val="0"/>
                <w:color w:val="000000"/>
                <w:sz w:val="16"/>
              </w:rPr>
              <w:t xml:space="preserve">other </w:t>
            </w:r>
            <w:r w:rsidR="00C66FB6">
              <w:rPr>
                <w:rFonts w:ascii="Arial" w:hAnsi="Arial"/>
                <w:snapToGrid w:val="0"/>
                <w:color w:val="000000"/>
                <w:sz w:val="16"/>
              </w:rPr>
              <w:t xml:space="preserve">default values </w:t>
            </w:r>
            <w:r w:rsidR="007A44B2">
              <w:rPr>
                <w:rFonts w:ascii="Arial" w:hAnsi="Arial"/>
                <w:snapToGrid w:val="0"/>
                <w:color w:val="000000"/>
                <w:sz w:val="16"/>
              </w:rPr>
              <w:t>used for corporate GHG reporting</w:t>
            </w:r>
            <w:r w:rsidR="00C66FB6">
              <w:rPr>
                <w:rFonts w:ascii="Arial" w:hAnsi="Arial"/>
                <w:snapToGrid w:val="0"/>
                <w:color w:val="000000"/>
                <w:sz w:val="16"/>
              </w:rPr>
              <w:t xml:space="preserve"> (e.g., do stationary combustion CO</w:t>
            </w:r>
            <w:r w:rsidR="00C66FB6">
              <w:rPr>
                <w:rFonts w:ascii="Arial" w:hAnsi="Arial"/>
                <w:snapToGrid w:val="0"/>
                <w:color w:val="000000"/>
                <w:sz w:val="16"/>
                <w:vertAlign w:val="subscript"/>
              </w:rPr>
              <w:t>2</w:t>
            </w:r>
            <w:r w:rsidR="00C66FB6">
              <w:rPr>
                <w:rFonts w:ascii="Arial" w:hAnsi="Arial"/>
                <w:snapToGrid w:val="0"/>
                <w:color w:val="000000"/>
                <w:sz w:val="16"/>
              </w:rPr>
              <w:t xml:space="preserve"> factors account for carbon oxidation)?</w:t>
            </w:r>
          </w:p>
          <w:p w14:paraId="69AF4F92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058C7CA5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Is the method for determining electricity production emission</w:t>
            </w:r>
            <w:r w:rsidR="00422CC9">
              <w:rPr>
                <w:rFonts w:ascii="Arial" w:hAnsi="Arial"/>
                <w:snapToGrid w:val="0"/>
                <w:color w:val="000000"/>
                <w:sz w:val="16"/>
              </w:rPr>
              <w:t>s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factors documented (e.g., from utility, default average regional factor, etc.)?  </w:t>
            </w:r>
          </w:p>
        </w:tc>
      </w:tr>
      <w:tr w:rsidR="00C66FB6" w14:paraId="6F46120D" w14:textId="77777777" w:rsidTr="007A25CE">
        <w:trPr>
          <w:cantSplit/>
        </w:trPr>
        <w:tc>
          <w:tcPr>
            <w:tcW w:w="468" w:type="dxa"/>
            <w:shd w:val="pct50" w:color="auto" w:fill="FFFFFF"/>
          </w:tcPr>
          <w:p w14:paraId="1A446BFF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FFFFFF"/>
                <w:sz w:val="20"/>
              </w:rPr>
            </w:pPr>
          </w:p>
        </w:tc>
        <w:tc>
          <w:tcPr>
            <w:tcW w:w="2610" w:type="dxa"/>
            <w:shd w:val="pct50" w:color="auto" w:fill="FFFFFF"/>
          </w:tcPr>
          <w:p w14:paraId="4DEFE117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FFFFFF"/>
                <w:sz w:val="18"/>
              </w:rPr>
              <w:t>Data Management</w:t>
            </w:r>
          </w:p>
        </w:tc>
        <w:tc>
          <w:tcPr>
            <w:tcW w:w="4770" w:type="dxa"/>
            <w:shd w:val="pct50" w:color="auto" w:fill="FFFFFF"/>
          </w:tcPr>
          <w:p w14:paraId="069B05D4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20"/>
              </w:rPr>
            </w:pPr>
          </w:p>
        </w:tc>
        <w:tc>
          <w:tcPr>
            <w:tcW w:w="6660" w:type="dxa"/>
            <w:shd w:val="pct50" w:color="auto" w:fill="FFFFFF"/>
          </w:tcPr>
          <w:p w14:paraId="043B3AA9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20"/>
              </w:rPr>
            </w:pPr>
          </w:p>
        </w:tc>
      </w:tr>
      <w:tr w:rsidR="00C66FB6" w14:paraId="456B12FC" w14:textId="77777777" w:rsidTr="007A25CE">
        <w:trPr>
          <w:cantSplit/>
        </w:trPr>
        <w:tc>
          <w:tcPr>
            <w:tcW w:w="468" w:type="dxa"/>
          </w:tcPr>
          <w:p w14:paraId="6E2F6073" w14:textId="77777777" w:rsidR="00C66FB6" w:rsidRDefault="00344337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16</w:t>
            </w:r>
            <w:r w:rsidR="00C66FB6"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2610" w:type="dxa"/>
          </w:tcPr>
          <w:p w14:paraId="2A9412FD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Activity Data</w:t>
            </w:r>
          </w:p>
        </w:tc>
        <w:tc>
          <w:tcPr>
            <w:tcW w:w="4770" w:type="dxa"/>
          </w:tcPr>
          <w:p w14:paraId="0DA94D74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 description </w:t>
            </w:r>
            <w:r w:rsidR="00DF0AE2">
              <w:rPr>
                <w:rFonts w:ascii="Arial" w:hAnsi="Arial"/>
                <w:snapToGrid w:val="0"/>
                <w:color w:val="000000"/>
                <w:sz w:val="16"/>
              </w:rPr>
              <w:t xml:space="preserve">/ name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of the </w:t>
            </w: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source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of activity data </w:t>
            </w:r>
            <w:r w:rsidR="00DF0AE2">
              <w:rPr>
                <w:rFonts w:ascii="Arial" w:hAnsi="Arial"/>
                <w:snapToGrid w:val="0"/>
                <w:color w:val="000000"/>
                <w:sz w:val="16"/>
              </w:rPr>
              <w:t xml:space="preserve">documents or processes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required to complete quantification methodology (e.g., monthly fuel purchase records, fuel meter, </w:t>
            </w:r>
            <w:r w:rsidR="00DF0AE2">
              <w:rPr>
                <w:rFonts w:ascii="Arial" w:hAnsi="Arial"/>
                <w:snapToGrid w:val="0"/>
                <w:color w:val="000000"/>
                <w:sz w:val="16"/>
              </w:rPr>
              <w:t xml:space="preserve">internal tracking and aggregation documents,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etc.) for each </w:t>
            </w:r>
            <w:r w:rsidR="00DF0AE2">
              <w:rPr>
                <w:rFonts w:ascii="Arial" w:hAnsi="Arial"/>
                <w:snapToGrid w:val="0"/>
                <w:color w:val="000000"/>
                <w:sz w:val="16"/>
              </w:rPr>
              <w:t>item of activity data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  <w:p w14:paraId="330D10F1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174FB110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Where multiple data sources are used, specify which facility / source uses the respective data source.</w:t>
            </w:r>
          </w:p>
        </w:tc>
        <w:tc>
          <w:tcPr>
            <w:tcW w:w="6660" w:type="dxa"/>
          </w:tcPr>
          <w:p w14:paraId="67487F89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Is activity data based on appropriate sources?</w:t>
            </w:r>
          </w:p>
          <w:p w14:paraId="6351AAF8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4F18E421" w14:textId="0A7C3A3E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Is the right activity data being collected for the quantification method described in </w:t>
            </w:r>
            <w:r w:rsidRPr="00F6582B"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  <w:r w:rsidR="009E2966" w:rsidRPr="00F6582B">
              <w:rPr>
                <w:rFonts w:ascii="Arial" w:hAnsi="Arial"/>
                <w:snapToGrid w:val="0"/>
                <w:color w:val="000000"/>
                <w:sz w:val="16"/>
              </w:rPr>
              <w:t>14</w:t>
            </w:r>
            <w:r w:rsidRPr="00F6582B">
              <w:rPr>
                <w:rFonts w:ascii="Arial" w:hAnsi="Arial"/>
                <w:snapToGrid w:val="0"/>
                <w:color w:val="000000"/>
                <w:sz w:val="16"/>
              </w:rPr>
              <w:t>?</w:t>
            </w:r>
          </w:p>
          <w:p w14:paraId="08F49F62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2B931A77" w14:textId="77777777" w:rsidR="00C66FB6" w:rsidRDefault="00C66FB6" w:rsidP="007A25CE">
            <w:pPr>
              <w:pStyle w:val="BodyText2"/>
            </w:pPr>
            <w:r>
              <w:t>Is activity data the most accurate available (e.g., fuel purchases adjusted for stock, fuel use based on physical units not $)?</w:t>
            </w:r>
          </w:p>
        </w:tc>
      </w:tr>
      <w:tr w:rsidR="00C66FB6" w14:paraId="0B7919D5" w14:textId="77777777" w:rsidTr="007A25CE">
        <w:trPr>
          <w:cantSplit/>
        </w:trPr>
        <w:tc>
          <w:tcPr>
            <w:tcW w:w="468" w:type="dxa"/>
          </w:tcPr>
          <w:p w14:paraId="37C41986" w14:textId="77777777" w:rsidR="00C66FB6" w:rsidRDefault="00344337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lastRenderedPageBreak/>
              <w:t>17</w:t>
            </w:r>
            <w:r w:rsidR="00C66FB6"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2610" w:type="dxa"/>
          </w:tcPr>
          <w:p w14:paraId="79140A8F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Data Management</w:t>
            </w:r>
          </w:p>
          <w:p w14:paraId="10E60AD6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643A6305" w14:textId="348DFA29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70" w:type="dxa"/>
          </w:tcPr>
          <w:p w14:paraId="2EF5A842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 description of the process for collecting and processing activity or monitoring data </w:t>
            </w:r>
            <w:r w:rsidR="00DF0AE2">
              <w:rPr>
                <w:rFonts w:ascii="Arial" w:hAnsi="Arial"/>
                <w:snapToGrid w:val="0"/>
                <w:color w:val="000000"/>
                <w:sz w:val="16"/>
              </w:rPr>
              <w:t xml:space="preserve">from its original source to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the final emission data entered into the inventory. </w:t>
            </w:r>
          </w:p>
          <w:p w14:paraId="2144C5F8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666B7456" w14:textId="5CB7BA83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Includes a description of roles and responsibilities</w:t>
            </w:r>
            <w:r w:rsidR="004C020E"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 w:rsidR="004C020E" w:rsidRPr="004C020E">
              <w:rPr>
                <w:rFonts w:ascii="Arial" w:hAnsi="Arial"/>
                <w:snapToGrid w:val="0"/>
                <w:color w:val="000000"/>
                <w:sz w:val="16"/>
              </w:rPr>
              <w:t xml:space="preserve">for all </w:t>
            </w:r>
            <w:r w:rsidR="00575087">
              <w:rPr>
                <w:rFonts w:ascii="Arial" w:hAnsi="Arial"/>
                <w:snapToGrid w:val="0"/>
                <w:color w:val="000000"/>
                <w:sz w:val="16"/>
              </w:rPr>
              <w:t>organization</w:t>
            </w:r>
            <w:r w:rsidR="004C020E" w:rsidRPr="004C020E">
              <w:rPr>
                <w:rFonts w:ascii="Arial" w:hAnsi="Arial"/>
                <w:snapToGrid w:val="0"/>
                <w:color w:val="000000"/>
                <w:sz w:val="16"/>
              </w:rPr>
              <w:t xml:space="preserve"> representatives involved in developing and maintaining the </w:t>
            </w:r>
            <w:r w:rsidR="00575087">
              <w:rPr>
                <w:rFonts w:ascii="Arial" w:hAnsi="Arial"/>
                <w:snapToGrid w:val="0"/>
                <w:color w:val="000000"/>
                <w:sz w:val="16"/>
              </w:rPr>
              <w:t>organization</w:t>
            </w:r>
            <w:r w:rsidR="004C020E" w:rsidRPr="004C020E">
              <w:rPr>
                <w:rFonts w:ascii="Arial" w:hAnsi="Arial"/>
                <w:snapToGrid w:val="0"/>
                <w:color w:val="000000"/>
                <w:sz w:val="16"/>
              </w:rPr>
              <w:t>’s GHG inventory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  <w:p w14:paraId="435AFEC1" w14:textId="77777777" w:rsidR="00FB7DAF" w:rsidRDefault="00FB7DAF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3E92DC09" w14:textId="1DCA4C8C" w:rsidR="00904BFE" w:rsidRDefault="00FB7DAF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 description of how GHG data collection process is integrated with other reporting tools and processes.</w:t>
            </w:r>
            <w:r w:rsidR="00904BFE">
              <w:rPr>
                <w:rFonts w:ascii="Arial" w:hAnsi="Arial"/>
                <w:snapToGrid w:val="0"/>
                <w:color w:val="000000"/>
                <w:sz w:val="16"/>
              </w:rPr>
              <w:t xml:space="preserve">  Including the tracking of a normalization factor (units of product, $ revenue, etc.) used to calculate emissions intensity if relevant.</w:t>
            </w:r>
          </w:p>
          <w:p w14:paraId="14EC0117" w14:textId="02E8F886" w:rsidR="00FB7DAF" w:rsidRDefault="00FB7DAF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6660" w:type="dxa"/>
          </w:tcPr>
          <w:p w14:paraId="3CF29411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Is the process likely to avoid data errors in computing final rolled up inventory totals?</w:t>
            </w:r>
          </w:p>
          <w:p w14:paraId="4127194E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1402A9F8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Are roles and responsibilities properly defined</w:t>
            </w:r>
            <w:r w:rsidR="00DF0AE2">
              <w:rPr>
                <w:rFonts w:ascii="Arial" w:hAnsi="Arial"/>
                <w:snapToGrid w:val="0"/>
                <w:color w:val="000000"/>
                <w:sz w:val="16"/>
              </w:rPr>
              <w:t xml:space="preserve"> and are the person / persons responsible for collecting data identified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?</w:t>
            </w:r>
          </w:p>
          <w:p w14:paraId="453F4066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26965077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Is the process adequately defined and institutionalized?  </w:t>
            </w:r>
          </w:p>
          <w:p w14:paraId="6F999CAD" w14:textId="77777777" w:rsidR="00FB7DAF" w:rsidRDefault="00FB7DAF" w:rsidP="007A25CE">
            <w:pPr>
              <w:pStyle w:val="FootnoteText"/>
              <w:tabs>
                <w:tab w:val="left" w:pos="463"/>
                <w:tab w:val="left" w:pos="3113"/>
              </w:tabs>
              <w:rPr>
                <w:snapToGrid w:val="0"/>
                <w:color w:val="000000"/>
              </w:rPr>
            </w:pPr>
          </w:p>
          <w:p w14:paraId="731C8292" w14:textId="77777777" w:rsidR="00FB7DAF" w:rsidRDefault="00FB7DAF" w:rsidP="007A25CE">
            <w:pPr>
              <w:pStyle w:val="FootnoteText"/>
              <w:tabs>
                <w:tab w:val="left" w:pos="463"/>
                <w:tab w:val="left" w:pos="3113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Is the process currently integrated with other data collection or management tools or processes?  If not, can it be to enhance efficiency?</w:t>
            </w:r>
          </w:p>
          <w:p w14:paraId="27CA0045" w14:textId="77777777" w:rsidR="00FB7DAF" w:rsidRDefault="00FB7DAF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66FB6" w14:paraId="07187433" w14:textId="77777777" w:rsidTr="007A25CE">
        <w:trPr>
          <w:cantSplit/>
        </w:trPr>
        <w:tc>
          <w:tcPr>
            <w:tcW w:w="468" w:type="dxa"/>
          </w:tcPr>
          <w:p w14:paraId="4347172A" w14:textId="22924A5B" w:rsidR="00C66FB6" w:rsidRDefault="00F613F5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18</w:t>
            </w:r>
            <w:r w:rsidR="00C66FB6"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2610" w:type="dxa"/>
          </w:tcPr>
          <w:p w14:paraId="19507CE1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Data Collection Process – Quality Assurance</w:t>
            </w:r>
          </w:p>
          <w:p w14:paraId="3FD37651" w14:textId="77777777" w:rsidR="00C66FB6" w:rsidRDefault="00C66FB6" w:rsidP="007A25CE">
            <w:pPr>
              <w:pStyle w:val="Heading7"/>
            </w:pPr>
          </w:p>
        </w:tc>
        <w:tc>
          <w:tcPr>
            <w:tcW w:w="4770" w:type="dxa"/>
          </w:tcPr>
          <w:p w14:paraId="2E6ECC35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 description of the major sources of uncertainty and quality assurance measures for the data process flow.</w:t>
            </w:r>
          </w:p>
          <w:p w14:paraId="6B9CCB5E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7932C53D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This includes information on how measurement system accuracy is assessed.</w:t>
            </w:r>
          </w:p>
        </w:tc>
        <w:tc>
          <w:tcPr>
            <w:tcW w:w="6660" w:type="dxa"/>
          </w:tcPr>
          <w:p w14:paraId="2BC5AB2C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Is there a process for minimizing error?</w:t>
            </w:r>
          </w:p>
          <w:p w14:paraId="5944941E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36F33AA2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Are all likely error sources considered?</w:t>
            </w:r>
          </w:p>
          <w:p w14:paraId="2C1D3CBC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78AFB0A4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How are uncertainties being addressed?</w:t>
            </w:r>
          </w:p>
        </w:tc>
      </w:tr>
      <w:tr w:rsidR="00C66FB6" w14:paraId="1BC91BED" w14:textId="77777777" w:rsidTr="007A25CE">
        <w:trPr>
          <w:cantSplit/>
        </w:trPr>
        <w:tc>
          <w:tcPr>
            <w:tcW w:w="468" w:type="dxa"/>
          </w:tcPr>
          <w:p w14:paraId="502E7C4D" w14:textId="7EA78534" w:rsidR="00C66FB6" w:rsidRDefault="00F613F5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19</w:t>
            </w:r>
            <w:r w:rsidR="00C66FB6"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2610" w:type="dxa"/>
          </w:tcPr>
          <w:p w14:paraId="22638385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Data Collection System Security</w:t>
            </w:r>
          </w:p>
          <w:p w14:paraId="5EB94E38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05FAB06F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[Can be defined over time]</w:t>
            </w:r>
          </w:p>
        </w:tc>
        <w:tc>
          <w:tcPr>
            <w:tcW w:w="4770" w:type="dxa"/>
          </w:tcPr>
          <w:p w14:paraId="7D4F4FFD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 description of how data collection system security is maintained.</w:t>
            </w:r>
          </w:p>
          <w:p w14:paraId="66BC898E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660" w:type="dxa"/>
          </w:tcPr>
          <w:p w14:paraId="69F5F51C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How likely are errors to occur within the data collection and management system due to spreadsheets being damaged or otherwise transformed, unauthorized access to databases, and other information system problems?</w:t>
            </w:r>
          </w:p>
        </w:tc>
      </w:tr>
      <w:tr w:rsidR="00B2445A" w14:paraId="1E93372B" w14:textId="77777777" w:rsidTr="007A25CE">
        <w:trPr>
          <w:cantSplit/>
        </w:trPr>
        <w:tc>
          <w:tcPr>
            <w:tcW w:w="468" w:type="dxa"/>
          </w:tcPr>
          <w:p w14:paraId="0D410407" w14:textId="618415F2" w:rsidR="00B2445A" w:rsidRDefault="00B2445A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  <w:r w:rsidR="00F613F5">
              <w:rPr>
                <w:rFonts w:ascii="Arial" w:hAnsi="Arial"/>
                <w:snapToGrid w:val="0"/>
                <w:color w:val="000000"/>
                <w:sz w:val="16"/>
              </w:rPr>
              <w:t>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2610" w:type="dxa"/>
          </w:tcPr>
          <w:p w14:paraId="12444B79" w14:textId="77777777" w:rsidR="00B2445A" w:rsidRDefault="00B2445A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Integrated Tools</w:t>
            </w:r>
          </w:p>
        </w:tc>
        <w:tc>
          <w:tcPr>
            <w:tcW w:w="4770" w:type="dxa"/>
          </w:tcPr>
          <w:p w14:paraId="61102D02" w14:textId="77777777" w:rsidR="00B2445A" w:rsidRDefault="00B2445A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 description of how the GHG inventory procedures are integrated into existing organization tools or procedures.</w:t>
            </w:r>
          </w:p>
        </w:tc>
        <w:tc>
          <w:tcPr>
            <w:tcW w:w="6660" w:type="dxa"/>
          </w:tcPr>
          <w:p w14:paraId="449B8D94" w14:textId="77777777" w:rsidR="00B2445A" w:rsidRDefault="00B2445A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C66FB6" w14:paraId="3A310F31" w14:textId="77777777" w:rsidTr="007A25CE">
        <w:trPr>
          <w:cantSplit/>
        </w:trPr>
        <w:tc>
          <w:tcPr>
            <w:tcW w:w="468" w:type="dxa"/>
          </w:tcPr>
          <w:p w14:paraId="10B81C47" w14:textId="09C912A5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  <w:r w:rsidR="00F613F5"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2610" w:type="dxa"/>
          </w:tcPr>
          <w:p w14:paraId="0221975B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Frequency</w:t>
            </w:r>
          </w:p>
        </w:tc>
        <w:tc>
          <w:tcPr>
            <w:tcW w:w="4770" w:type="dxa"/>
          </w:tcPr>
          <w:p w14:paraId="5DB81D14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The frequency for reporting facility data to the corporate level.</w:t>
            </w:r>
          </w:p>
          <w:p w14:paraId="7B4069BF" w14:textId="77777777" w:rsidR="00B9408A" w:rsidRDefault="00B9408A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7125C14A" w14:textId="77777777" w:rsidR="00B9408A" w:rsidRDefault="00B9408A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An indication of whether the inventory is aggregated on a calendar year or other basis. </w:t>
            </w:r>
          </w:p>
        </w:tc>
        <w:tc>
          <w:tcPr>
            <w:tcW w:w="6660" w:type="dxa"/>
          </w:tcPr>
          <w:p w14:paraId="50752C4B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Is the reporting frequency sufficient to avoid significant errors in reporting (i.e. at least annual reporting)?</w:t>
            </w:r>
          </w:p>
        </w:tc>
      </w:tr>
      <w:tr w:rsidR="00C66FB6" w14:paraId="20FD313D" w14:textId="77777777" w:rsidTr="007A25CE">
        <w:trPr>
          <w:cantSplit/>
        </w:trPr>
        <w:tc>
          <w:tcPr>
            <w:tcW w:w="468" w:type="dxa"/>
            <w:shd w:val="clear" w:color="auto" w:fill="808080"/>
          </w:tcPr>
          <w:p w14:paraId="07208B65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FFFFFF"/>
                <w:sz w:val="20"/>
              </w:rPr>
            </w:pPr>
          </w:p>
        </w:tc>
        <w:tc>
          <w:tcPr>
            <w:tcW w:w="2610" w:type="dxa"/>
            <w:shd w:val="clear" w:color="auto" w:fill="808080"/>
          </w:tcPr>
          <w:p w14:paraId="069044D6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FFFFFF"/>
                <w:sz w:val="18"/>
              </w:rPr>
              <w:t>Base Year</w:t>
            </w:r>
          </w:p>
        </w:tc>
        <w:tc>
          <w:tcPr>
            <w:tcW w:w="4770" w:type="dxa"/>
            <w:shd w:val="clear" w:color="auto" w:fill="808080"/>
          </w:tcPr>
          <w:p w14:paraId="67AD807C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20"/>
              </w:rPr>
            </w:pPr>
          </w:p>
        </w:tc>
        <w:tc>
          <w:tcPr>
            <w:tcW w:w="6660" w:type="dxa"/>
            <w:shd w:val="clear" w:color="auto" w:fill="808080"/>
          </w:tcPr>
          <w:p w14:paraId="0626FE7A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20"/>
              </w:rPr>
            </w:pPr>
          </w:p>
        </w:tc>
      </w:tr>
      <w:tr w:rsidR="00C66FB6" w14:paraId="17507573" w14:textId="77777777" w:rsidTr="007A25CE">
        <w:trPr>
          <w:cantSplit/>
        </w:trPr>
        <w:tc>
          <w:tcPr>
            <w:tcW w:w="468" w:type="dxa"/>
          </w:tcPr>
          <w:p w14:paraId="2C56BD5D" w14:textId="1603CA6C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  <w:r w:rsidR="00F613F5"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2610" w:type="dxa"/>
          </w:tcPr>
          <w:p w14:paraId="16AB6836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Adjustment – Structural Changes</w:t>
            </w:r>
          </w:p>
        </w:tc>
        <w:tc>
          <w:tcPr>
            <w:tcW w:w="4770" w:type="dxa"/>
          </w:tcPr>
          <w:p w14:paraId="48C9A7C6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 description of the approach for adjusting base year emissions for mergers, acquisitions, divestitures, and outsourcing.</w:t>
            </w:r>
          </w:p>
          <w:p w14:paraId="7B362DB2" w14:textId="77777777" w:rsidR="00412A54" w:rsidRDefault="00412A54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6883EC8A" w14:textId="77777777" w:rsidR="00412A54" w:rsidRDefault="00412A54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An indication of whether a significance threshold is used to define whether adjustments are made. </w:t>
            </w:r>
          </w:p>
          <w:p w14:paraId="2816531C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7B7F1F00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This includes defining the process for determining when changes are necessary.</w:t>
            </w:r>
          </w:p>
        </w:tc>
        <w:tc>
          <w:tcPr>
            <w:tcW w:w="6660" w:type="dxa"/>
          </w:tcPr>
          <w:p w14:paraId="56D54E4A" w14:textId="77777777" w:rsidR="00C66FB6" w:rsidRDefault="00C66FB6" w:rsidP="007A25CE">
            <w:pPr>
              <w:pStyle w:val="FootnoteText"/>
              <w:tabs>
                <w:tab w:val="left" w:pos="463"/>
                <w:tab w:val="left" w:pos="3113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Is there an effective and accurate process for adjusting base year emissions </w:t>
            </w:r>
            <w:r w:rsidR="00412A54">
              <w:rPr>
                <w:snapToGrid w:val="0"/>
                <w:color w:val="000000"/>
              </w:rPr>
              <w:t xml:space="preserve">and normalization factor </w:t>
            </w:r>
            <w:r>
              <w:rPr>
                <w:snapToGrid w:val="0"/>
                <w:color w:val="000000"/>
              </w:rPr>
              <w:t xml:space="preserve">for structural changes?  Are procedures in place to trigger adjustments when structural changes occur?  </w:t>
            </w:r>
          </w:p>
          <w:p w14:paraId="5029607F" w14:textId="77777777" w:rsidR="00C66FB6" w:rsidRDefault="00C66FB6" w:rsidP="007A25CE">
            <w:pPr>
              <w:pStyle w:val="FootnoteText"/>
              <w:tabs>
                <w:tab w:val="left" w:pos="463"/>
                <w:tab w:val="left" w:pos="3113"/>
              </w:tabs>
              <w:rPr>
                <w:snapToGrid w:val="0"/>
                <w:color w:val="000000"/>
              </w:rPr>
            </w:pPr>
          </w:p>
          <w:p w14:paraId="5E67CC64" w14:textId="77777777" w:rsidR="00C66FB6" w:rsidRDefault="00C66FB6" w:rsidP="007A25CE">
            <w:pPr>
              <w:pStyle w:val="FootnoteText"/>
              <w:tabs>
                <w:tab w:val="left" w:pos="463"/>
                <w:tab w:val="left" w:pos="3113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Are changes implemented consistently (e.g., for emissions decreases as well as increases)?  </w:t>
            </w:r>
          </w:p>
          <w:p w14:paraId="4F18F384" w14:textId="77777777" w:rsidR="00C66FB6" w:rsidRDefault="00C66FB6" w:rsidP="007A25CE">
            <w:pPr>
              <w:pStyle w:val="FootnoteText"/>
              <w:tabs>
                <w:tab w:val="left" w:pos="463"/>
                <w:tab w:val="left" w:pos="3113"/>
              </w:tabs>
              <w:rPr>
                <w:snapToGrid w:val="0"/>
                <w:color w:val="000000"/>
              </w:rPr>
            </w:pPr>
          </w:p>
          <w:p w14:paraId="0B42EAF8" w14:textId="77777777" w:rsidR="00412A54" w:rsidRDefault="00412A54" w:rsidP="007A25CE">
            <w:pPr>
              <w:pStyle w:val="FootnoteText"/>
              <w:tabs>
                <w:tab w:val="left" w:pos="463"/>
                <w:tab w:val="left" w:pos="3113"/>
              </w:tabs>
              <w:rPr>
                <w:snapToGrid w:val="0"/>
                <w:color w:val="000000"/>
              </w:rPr>
            </w:pPr>
            <w:r w:rsidRPr="00412A54">
              <w:rPr>
                <w:snapToGrid w:val="0"/>
                <w:color w:val="000000"/>
              </w:rPr>
              <w:t xml:space="preserve">If actual data back to base year for acquired facilities is unavailable, how will it be estimated?  </w:t>
            </w:r>
          </w:p>
          <w:p w14:paraId="213CE1AB" w14:textId="77777777" w:rsidR="00412A54" w:rsidRDefault="00412A54" w:rsidP="007A25CE">
            <w:pPr>
              <w:pStyle w:val="FootnoteText"/>
              <w:tabs>
                <w:tab w:val="left" w:pos="463"/>
                <w:tab w:val="left" w:pos="3113"/>
              </w:tabs>
              <w:rPr>
                <w:snapToGrid w:val="0"/>
                <w:color w:val="000000"/>
              </w:rPr>
            </w:pPr>
          </w:p>
          <w:p w14:paraId="37AA3217" w14:textId="77777777" w:rsidR="00C66FB6" w:rsidRDefault="00C66FB6" w:rsidP="007A25CE">
            <w:pPr>
              <w:pStyle w:val="FootnoteText"/>
              <w:tabs>
                <w:tab w:val="left" w:pos="463"/>
                <w:tab w:val="left" w:pos="3113"/>
              </w:tabs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How is this linked to </w:t>
            </w:r>
            <w:r w:rsidRPr="00F6582B">
              <w:rPr>
                <w:snapToGrid w:val="0"/>
                <w:color w:val="000000"/>
              </w:rPr>
              <w:t>#5 (method) and #6 (list) of facilities</w:t>
            </w:r>
            <w:r w:rsidRPr="009E2966">
              <w:rPr>
                <w:snapToGrid w:val="0"/>
                <w:color w:val="000000"/>
              </w:rPr>
              <w:t>?</w:t>
            </w:r>
          </w:p>
        </w:tc>
      </w:tr>
      <w:tr w:rsidR="00C66FB6" w14:paraId="499AD168" w14:textId="77777777" w:rsidTr="007A25CE">
        <w:trPr>
          <w:cantSplit/>
        </w:trPr>
        <w:tc>
          <w:tcPr>
            <w:tcW w:w="468" w:type="dxa"/>
          </w:tcPr>
          <w:p w14:paraId="04B66F22" w14:textId="0D9DB122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  <w:r w:rsidR="00F613F5">
              <w:rPr>
                <w:rFonts w:ascii="Arial" w:hAnsi="Arial"/>
                <w:snapToGrid w:val="0"/>
                <w:color w:val="000000"/>
                <w:sz w:val="16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2610" w:type="dxa"/>
          </w:tcPr>
          <w:p w14:paraId="65D22139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Adjustment – Methodology Changes</w:t>
            </w:r>
          </w:p>
        </w:tc>
        <w:tc>
          <w:tcPr>
            <w:tcW w:w="4770" w:type="dxa"/>
          </w:tcPr>
          <w:p w14:paraId="4951788C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 description of the approach for adjusting base year emissions for changes in calculation methodologies, emission</w:t>
            </w:r>
            <w:r w:rsidR="00422CC9">
              <w:rPr>
                <w:rFonts w:ascii="Arial" w:hAnsi="Arial"/>
                <w:snapToGrid w:val="0"/>
                <w:color w:val="000000"/>
                <w:sz w:val="16"/>
              </w:rPr>
              <w:t>s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factors, or error correction.</w:t>
            </w:r>
          </w:p>
          <w:p w14:paraId="558A81D4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3DA37C3B" w14:textId="77777777" w:rsidR="00412A54" w:rsidRDefault="00412A54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An indication of whether a significance threshold is used to define whether adjustments are made. </w:t>
            </w:r>
          </w:p>
          <w:p w14:paraId="43E1B195" w14:textId="77777777" w:rsidR="00412A54" w:rsidRDefault="00412A54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4ED88C5D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This includes defining the process for determining when changes are necessary.</w:t>
            </w:r>
          </w:p>
          <w:p w14:paraId="29CFB486" w14:textId="77777777" w:rsidR="007A25CE" w:rsidRDefault="007A25CE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44668C47" w14:textId="648DAA6B" w:rsidR="007A25CE" w:rsidRDefault="007A25CE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660" w:type="dxa"/>
          </w:tcPr>
          <w:p w14:paraId="2D204FE5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Is there an effective and accurate process for adjusting base year emissions for methodology changes?  Are procedures in place to trigger adjustments when methodology changes occur?</w:t>
            </w:r>
          </w:p>
          <w:p w14:paraId="4BA5BE56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3083C149" w14:textId="6C8FD363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How is this linked to </w:t>
            </w:r>
            <w:r w:rsidRPr="00F6582B"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  <w:r w:rsidR="009E2966" w:rsidRPr="00F6582B">
              <w:rPr>
                <w:rFonts w:ascii="Arial" w:hAnsi="Arial"/>
                <w:snapToGrid w:val="0"/>
                <w:color w:val="000000"/>
                <w:sz w:val="16"/>
              </w:rPr>
              <w:t xml:space="preserve">14 </w:t>
            </w:r>
            <w:r w:rsidRPr="00F6582B">
              <w:rPr>
                <w:rFonts w:ascii="Arial" w:hAnsi="Arial"/>
                <w:snapToGrid w:val="0"/>
                <w:color w:val="000000"/>
                <w:sz w:val="16"/>
              </w:rPr>
              <w:t>(method) and #1</w:t>
            </w:r>
            <w:r w:rsidR="009E2966" w:rsidRPr="00F6582B">
              <w:rPr>
                <w:rFonts w:ascii="Arial" w:hAnsi="Arial"/>
                <w:snapToGrid w:val="0"/>
                <w:color w:val="000000"/>
                <w:sz w:val="16"/>
              </w:rPr>
              <w:t>5</w:t>
            </w:r>
            <w:r w:rsidRPr="00F6582B">
              <w:rPr>
                <w:rFonts w:ascii="Arial" w:hAnsi="Arial"/>
                <w:snapToGrid w:val="0"/>
                <w:color w:val="000000"/>
                <w:sz w:val="16"/>
              </w:rPr>
              <w:t xml:space="preserve"> (factors)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for calculating emissions?</w:t>
            </w:r>
          </w:p>
        </w:tc>
      </w:tr>
      <w:tr w:rsidR="00C66FB6" w14:paraId="03292198" w14:textId="77777777" w:rsidTr="007A25CE">
        <w:trPr>
          <w:cantSplit/>
        </w:trPr>
        <w:tc>
          <w:tcPr>
            <w:tcW w:w="468" w:type="dxa"/>
            <w:shd w:val="clear" w:color="auto" w:fill="808080"/>
          </w:tcPr>
          <w:p w14:paraId="53604BFC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FFFFFF"/>
                <w:sz w:val="20"/>
              </w:rPr>
            </w:pPr>
          </w:p>
        </w:tc>
        <w:tc>
          <w:tcPr>
            <w:tcW w:w="2610" w:type="dxa"/>
            <w:shd w:val="clear" w:color="auto" w:fill="808080"/>
          </w:tcPr>
          <w:p w14:paraId="304FEE25" w14:textId="77777777" w:rsidR="00C66FB6" w:rsidRDefault="00C66FB6" w:rsidP="007A25CE">
            <w:pPr>
              <w:pStyle w:val="Heading7"/>
              <w:keepNext w:val="0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Management Tools</w:t>
            </w:r>
          </w:p>
        </w:tc>
        <w:tc>
          <w:tcPr>
            <w:tcW w:w="4770" w:type="dxa"/>
            <w:shd w:val="clear" w:color="auto" w:fill="808080"/>
          </w:tcPr>
          <w:p w14:paraId="056FD4FE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FFFFFF"/>
                <w:sz w:val="20"/>
              </w:rPr>
            </w:pPr>
          </w:p>
        </w:tc>
        <w:tc>
          <w:tcPr>
            <w:tcW w:w="6660" w:type="dxa"/>
            <w:shd w:val="clear" w:color="auto" w:fill="808080"/>
          </w:tcPr>
          <w:p w14:paraId="2E4AB5B1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FFFFFF"/>
                <w:sz w:val="20"/>
              </w:rPr>
            </w:pPr>
          </w:p>
        </w:tc>
      </w:tr>
      <w:tr w:rsidR="00C66FB6" w14:paraId="1FE719F6" w14:textId="77777777" w:rsidTr="007A25CE">
        <w:trPr>
          <w:cantSplit/>
        </w:trPr>
        <w:tc>
          <w:tcPr>
            <w:tcW w:w="468" w:type="dxa"/>
          </w:tcPr>
          <w:p w14:paraId="5BFA72F9" w14:textId="43250D73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  <w:r w:rsidR="00F613F5">
              <w:rPr>
                <w:rFonts w:ascii="Arial" w:hAnsi="Arial"/>
                <w:snapToGrid w:val="0"/>
                <w:color w:val="000000"/>
                <w:sz w:val="16"/>
              </w:rPr>
              <w:t>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2610" w:type="dxa"/>
          </w:tcPr>
          <w:p w14:paraId="3219A17D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Roles and Responsibilities</w:t>
            </w:r>
          </w:p>
          <w:p w14:paraId="1C54F986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02F55D9A" w14:textId="4C29AA0C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70" w:type="dxa"/>
          </w:tcPr>
          <w:p w14:paraId="1A14A135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 description of overall roles and responsibilities for corporate GHG inventory development and maintenance, include discussion of management role(s).</w:t>
            </w:r>
          </w:p>
        </w:tc>
        <w:tc>
          <w:tcPr>
            <w:tcW w:w="6660" w:type="dxa"/>
          </w:tcPr>
          <w:p w14:paraId="247933F1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Are roles and responsibilities sufficiently spelled out to ensure that tasks are completed?</w:t>
            </w:r>
          </w:p>
          <w:p w14:paraId="58CA6C2E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68A5136D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Are roles and responsibilities adequately defined and institutionalized?</w:t>
            </w:r>
          </w:p>
        </w:tc>
      </w:tr>
      <w:tr w:rsidR="00C66FB6" w14:paraId="61A52610" w14:textId="77777777" w:rsidTr="007A25CE">
        <w:trPr>
          <w:cantSplit/>
        </w:trPr>
        <w:tc>
          <w:tcPr>
            <w:tcW w:w="468" w:type="dxa"/>
          </w:tcPr>
          <w:p w14:paraId="7FDBB247" w14:textId="3413BBB9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  <w:r w:rsidR="00F613F5">
              <w:rPr>
                <w:rFonts w:ascii="Arial" w:hAnsi="Arial"/>
                <w:snapToGrid w:val="0"/>
                <w:color w:val="000000"/>
                <w:sz w:val="16"/>
              </w:rPr>
              <w:t>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2610" w:type="dxa"/>
          </w:tcPr>
          <w:p w14:paraId="2A534BAD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Training</w:t>
            </w:r>
          </w:p>
          <w:p w14:paraId="588AE551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638C3A7A" w14:textId="02CA2C9D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70" w:type="dxa"/>
          </w:tcPr>
          <w:p w14:paraId="15AC434C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 description of inventory development training received by inventory development team members.</w:t>
            </w:r>
          </w:p>
          <w:p w14:paraId="0C9E8072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660" w:type="dxa"/>
          </w:tcPr>
          <w:p w14:paraId="37B253FB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Is sufficient training provided to ensure that tasks are completed accurately?</w:t>
            </w:r>
          </w:p>
          <w:p w14:paraId="4F4C915C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477153B5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Are new staff properly trained and aware of their roles and responsibilities?  </w:t>
            </w:r>
          </w:p>
        </w:tc>
      </w:tr>
      <w:tr w:rsidR="00C66FB6" w14:paraId="4DDA7038" w14:textId="77777777" w:rsidTr="007A25CE">
        <w:trPr>
          <w:cantSplit/>
        </w:trPr>
        <w:tc>
          <w:tcPr>
            <w:tcW w:w="468" w:type="dxa"/>
          </w:tcPr>
          <w:p w14:paraId="17B20F74" w14:textId="77CEDC2B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  <w:r w:rsidR="00F613F5">
              <w:rPr>
                <w:rFonts w:ascii="Arial" w:hAnsi="Arial"/>
                <w:snapToGrid w:val="0"/>
                <w:color w:val="000000"/>
                <w:sz w:val="16"/>
              </w:rPr>
              <w:t>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2610" w:type="dxa"/>
          </w:tcPr>
          <w:p w14:paraId="25078E3D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Document Retention and Control Policy</w:t>
            </w:r>
          </w:p>
          <w:p w14:paraId="2DE87D5F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</w:p>
          <w:p w14:paraId="4B1E7CBA" w14:textId="215177EB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70" w:type="dxa"/>
          </w:tcPr>
          <w:p w14:paraId="6BA3D5E4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 description of how version control is maintained for GHG inventory management guidelines.</w:t>
            </w:r>
          </w:p>
          <w:p w14:paraId="0751825E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5D031169" w14:textId="4D723A4D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 description of the </w:t>
            </w:r>
            <w:r w:rsidR="00575087">
              <w:rPr>
                <w:rFonts w:ascii="Arial" w:hAnsi="Arial"/>
                <w:snapToGrid w:val="0"/>
                <w:color w:val="000000"/>
                <w:sz w:val="16"/>
              </w:rPr>
              <w:t>organization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’s document retention policy</w:t>
            </w:r>
            <w:r w:rsidR="00412A54"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 w:rsidR="00412A54" w:rsidRPr="00412A54">
              <w:rPr>
                <w:rFonts w:ascii="Arial" w:hAnsi="Arial"/>
                <w:snapToGrid w:val="0"/>
                <w:color w:val="000000"/>
                <w:sz w:val="16"/>
              </w:rPr>
              <w:t>for activity data</w:t>
            </w:r>
            <w:r w:rsidR="00412A54">
              <w:rPr>
                <w:rFonts w:ascii="Arial" w:hAnsi="Arial"/>
                <w:snapToGrid w:val="0"/>
                <w:color w:val="000000"/>
                <w:sz w:val="16"/>
              </w:rPr>
              <w:t xml:space="preserve"> records and calculation tools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.  </w:t>
            </w:r>
          </w:p>
        </w:tc>
        <w:tc>
          <w:tcPr>
            <w:tcW w:w="6660" w:type="dxa"/>
          </w:tcPr>
          <w:p w14:paraId="59BFCB00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Is there a reasonable process for ensuring that all participants are working to the same IMP guidelines?</w:t>
            </w:r>
          </w:p>
          <w:p w14:paraId="2DDBA162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5DCAF308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Does the document retention policy </w:t>
            </w:r>
            <w:r w:rsidR="00412A54">
              <w:rPr>
                <w:rFonts w:ascii="Arial" w:hAnsi="Arial"/>
                <w:snapToGrid w:val="0"/>
                <w:color w:val="000000"/>
                <w:sz w:val="16"/>
              </w:rPr>
              <w:t xml:space="preserve">ensure that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data </w:t>
            </w:r>
            <w:r w:rsidR="00412A54" w:rsidRPr="00412A54">
              <w:rPr>
                <w:rFonts w:ascii="Arial" w:hAnsi="Arial"/>
                <w:snapToGrid w:val="0"/>
                <w:color w:val="000000"/>
                <w:sz w:val="16"/>
              </w:rPr>
              <w:t xml:space="preserve">beginning with the base year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is maintained</w:t>
            </w:r>
            <w:r w:rsidR="00221A25"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 w:rsidR="00412A54">
              <w:rPr>
                <w:rFonts w:ascii="Arial" w:hAnsi="Arial"/>
                <w:snapToGrid w:val="0"/>
                <w:color w:val="000000"/>
                <w:sz w:val="16"/>
              </w:rPr>
              <w:t xml:space="preserve">at </w:t>
            </w:r>
            <w:r w:rsidR="00412A54" w:rsidRPr="00412A54">
              <w:rPr>
                <w:rFonts w:ascii="Arial" w:hAnsi="Arial"/>
                <w:snapToGrid w:val="0"/>
                <w:color w:val="000000"/>
                <w:sz w:val="16"/>
              </w:rPr>
              <w:t xml:space="preserve">least through the end of </w:t>
            </w:r>
            <w:r w:rsidR="00412A54">
              <w:rPr>
                <w:rFonts w:ascii="Arial" w:hAnsi="Arial"/>
                <w:snapToGrid w:val="0"/>
                <w:color w:val="000000"/>
                <w:sz w:val="16"/>
              </w:rPr>
              <w:t>the</w:t>
            </w:r>
            <w:r w:rsidR="00412A54" w:rsidRPr="00412A54">
              <w:rPr>
                <w:rFonts w:ascii="Arial" w:hAnsi="Arial"/>
                <w:snapToGrid w:val="0"/>
                <w:color w:val="000000"/>
                <w:sz w:val="16"/>
              </w:rPr>
              <w:t xml:space="preserve"> goal period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?  </w:t>
            </w:r>
          </w:p>
        </w:tc>
      </w:tr>
      <w:tr w:rsidR="00C66FB6" w14:paraId="28991147" w14:textId="77777777" w:rsidTr="007A25CE">
        <w:trPr>
          <w:cantSplit/>
        </w:trPr>
        <w:tc>
          <w:tcPr>
            <w:tcW w:w="468" w:type="dxa"/>
            <w:shd w:val="clear" w:color="auto" w:fill="808080"/>
          </w:tcPr>
          <w:p w14:paraId="500FE6EA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FFFFFF"/>
                <w:sz w:val="20"/>
              </w:rPr>
            </w:pPr>
          </w:p>
        </w:tc>
        <w:tc>
          <w:tcPr>
            <w:tcW w:w="2610" w:type="dxa"/>
            <w:shd w:val="clear" w:color="auto" w:fill="808080"/>
          </w:tcPr>
          <w:p w14:paraId="0D1A7F4B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FFFFFF"/>
                <w:sz w:val="18"/>
              </w:rPr>
              <w:t>Auditing &amp; Verification</w:t>
            </w:r>
          </w:p>
        </w:tc>
        <w:tc>
          <w:tcPr>
            <w:tcW w:w="4770" w:type="dxa"/>
            <w:shd w:val="clear" w:color="auto" w:fill="808080"/>
          </w:tcPr>
          <w:p w14:paraId="4C922362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20"/>
              </w:rPr>
            </w:pPr>
          </w:p>
        </w:tc>
        <w:tc>
          <w:tcPr>
            <w:tcW w:w="6660" w:type="dxa"/>
            <w:shd w:val="clear" w:color="auto" w:fill="808080"/>
          </w:tcPr>
          <w:p w14:paraId="1D6436DA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color w:val="FFFFFF"/>
                <w:sz w:val="20"/>
              </w:rPr>
            </w:pPr>
          </w:p>
        </w:tc>
      </w:tr>
      <w:tr w:rsidR="00C66FB6" w14:paraId="37B045D8" w14:textId="77777777" w:rsidTr="007A25CE">
        <w:trPr>
          <w:cantSplit/>
        </w:trPr>
        <w:tc>
          <w:tcPr>
            <w:tcW w:w="468" w:type="dxa"/>
          </w:tcPr>
          <w:p w14:paraId="1338A098" w14:textId="3E91DF2A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  <w:r w:rsidR="00F613F5">
              <w:rPr>
                <w:rFonts w:ascii="Arial" w:hAnsi="Arial"/>
                <w:snapToGrid w:val="0"/>
                <w:color w:val="000000"/>
                <w:sz w:val="16"/>
              </w:rPr>
              <w:t>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2610" w:type="dxa"/>
          </w:tcPr>
          <w:p w14:paraId="7E75ABD9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Internal Auditing</w:t>
            </w:r>
          </w:p>
        </w:tc>
        <w:tc>
          <w:tcPr>
            <w:tcW w:w="4770" w:type="dxa"/>
          </w:tcPr>
          <w:p w14:paraId="034EB2B9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 description of the internal audit process.</w:t>
            </w:r>
          </w:p>
          <w:p w14:paraId="7D2B25AA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7B50EF61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Timing of the audit.</w:t>
            </w:r>
          </w:p>
          <w:p w14:paraId="6AFC607C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</w:p>
        </w:tc>
        <w:tc>
          <w:tcPr>
            <w:tcW w:w="6660" w:type="dxa"/>
          </w:tcPr>
          <w:p w14:paraId="6F0E65D0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Is there an audit process that is likely to identify gaps and errors in inventory management?</w:t>
            </w:r>
          </w:p>
          <w:p w14:paraId="1664C4A4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32D88698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Are auditor roles and responsibilities properly defined in </w:t>
            </w:r>
            <w:r w:rsidRPr="00F6582B">
              <w:rPr>
                <w:rFonts w:ascii="Arial" w:hAnsi="Arial"/>
                <w:snapToGrid w:val="0"/>
                <w:color w:val="000000"/>
                <w:sz w:val="16"/>
              </w:rPr>
              <w:t>#24?</w:t>
            </w:r>
          </w:p>
        </w:tc>
      </w:tr>
      <w:tr w:rsidR="00C66FB6" w14:paraId="3C884C6F" w14:textId="77777777" w:rsidTr="007A25CE">
        <w:trPr>
          <w:cantSplit/>
        </w:trPr>
        <w:tc>
          <w:tcPr>
            <w:tcW w:w="468" w:type="dxa"/>
          </w:tcPr>
          <w:p w14:paraId="00743408" w14:textId="2A502BFB" w:rsidR="00C66FB6" w:rsidRDefault="00F613F5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</w:t>
            </w:r>
            <w:r w:rsidR="00C66FB6">
              <w:rPr>
                <w:rFonts w:ascii="Arial" w:hAnsi="Arial"/>
                <w:snapToGrid w:val="0"/>
                <w:sz w:val="16"/>
              </w:rPr>
              <w:t>.</w:t>
            </w:r>
          </w:p>
        </w:tc>
        <w:tc>
          <w:tcPr>
            <w:tcW w:w="2610" w:type="dxa"/>
          </w:tcPr>
          <w:p w14:paraId="04FCD21B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External Validation and/or Verification</w:t>
            </w:r>
          </w:p>
          <w:p w14:paraId="7214F5F4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</w:p>
          <w:p w14:paraId="292C740E" w14:textId="58E52FAB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4770" w:type="dxa"/>
          </w:tcPr>
          <w:p w14:paraId="296D1295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If applicable, a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description of the </w:t>
            </w:r>
            <w:r>
              <w:rPr>
                <w:rFonts w:ascii="Arial" w:hAnsi="Arial"/>
                <w:snapToGrid w:val="0"/>
                <w:sz w:val="16"/>
              </w:rPr>
              <w:t>process for external review.</w:t>
            </w:r>
          </w:p>
          <w:p w14:paraId="586E9B45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</w:p>
          <w:p w14:paraId="2647884D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i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Timing of the audit. </w:t>
            </w:r>
          </w:p>
        </w:tc>
        <w:tc>
          <w:tcPr>
            <w:tcW w:w="6660" w:type="dxa"/>
          </w:tcPr>
          <w:p w14:paraId="2144AA79" w14:textId="77777777" w:rsidR="00C66FB6" w:rsidRDefault="00C66FB6" w:rsidP="007A25CE">
            <w:pPr>
              <w:pStyle w:val="FootnoteText"/>
              <w:tabs>
                <w:tab w:val="left" w:pos="463"/>
                <w:tab w:val="left" w:pos="3113"/>
              </w:tabs>
              <w:rPr>
                <w:snapToGrid w:val="0"/>
              </w:rPr>
            </w:pPr>
            <w:r>
              <w:rPr>
                <w:snapToGrid w:val="0"/>
              </w:rPr>
              <w:t>What protocol is the external validation / verification performed to?</w:t>
            </w:r>
          </w:p>
          <w:p w14:paraId="624C95C8" w14:textId="77777777" w:rsidR="00C66FB6" w:rsidRDefault="00C66FB6" w:rsidP="007A25CE">
            <w:pPr>
              <w:pStyle w:val="FootnoteText"/>
              <w:tabs>
                <w:tab w:val="left" w:pos="463"/>
                <w:tab w:val="left" w:pos="3113"/>
              </w:tabs>
              <w:rPr>
                <w:snapToGrid w:val="0"/>
              </w:rPr>
            </w:pPr>
          </w:p>
          <w:p w14:paraId="2F1B11D8" w14:textId="77777777" w:rsidR="00C66FB6" w:rsidRDefault="00C66FB6" w:rsidP="007A25CE">
            <w:pPr>
              <w:pStyle w:val="FootnoteText"/>
              <w:tabs>
                <w:tab w:val="left" w:pos="463"/>
                <w:tab w:val="left" w:pos="3113"/>
              </w:tabs>
              <w:rPr>
                <w:snapToGrid w:val="0"/>
              </w:rPr>
            </w:pPr>
            <w:r>
              <w:rPr>
                <w:snapToGrid w:val="0"/>
              </w:rPr>
              <w:t>What are the overall results of the validation / verification?</w:t>
            </w:r>
          </w:p>
        </w:tc>
      </w:tr>
      <w:tr w:rsidR="00C66FB6" w14:paraId="345D5565" w14:textId="77777777" w:rsidTr="007A25CE">
        <w:trPr>
          <w:cantSplit/>
        </w:trPr>
        <w:tc>
          <w:tcPr>
            <w:tcW w:w="468" w:type="dxa"/>
          </w:tcPr>
          <w:p w14:paraId="53E9044E" w14:textId="4EDE321B" w:rsidR="00C66FB6" w:rsidRDefault="00F613F5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</w:t>
            </w:r>
            <w:r w:rsidR="00C66FB6">
              <w:rPr>
                <w:rFonts w:ascii="Arial" w:hAnsi="Arial"/>
                <w:snapToGrid w:val="0"/>
                <w:sz w:val="16"/>
              </w:rPr>
              <w:t>.</w:t>
            </w:r>
          </w:p>
        </w:tc>
        <w:tc>
          <w:tcPr>
            <w:tcW w:w="2610" w:type="dxa"/>
          </w:tcPr>
          <w:p w14:paraId="2D571734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Management Review</w:t>
            </w:r>
          </w:p>
          <w:p w14:paraId="0121EAD4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0D3A7EB1" w14:textId="3FDD5E7F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70" w:type="dxa"/>
          </w:tcPr>
          <w:p w14:paraId="181AFE35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 description of the </w:t>
            </w:r>
            <w:r>
              <w:rPr>
                <w:rFonts w:ascii="Arial" w:hAnsi="Arial"/>
                <w:snapToGrid w:val="0"/>
                <w:sz w:val="16"/>
              </w:rPr>
              <w:t>senior management review process.</w:t>
            </w:r>
          </w:p>
          <w:p w14:paraId="5E96F52E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6660" w:type="dxa"/>
          </w:tcPr>
          <w:p w14:paraId="6048D790" w14:textId="77777777" w:rsidR="00C66FB6" w:rsidRDefault="00C66FB6" w:rsidP="007A25CE">
            <w:pPr>
              <w:pStyle w:val="FootnoteText"/>
              <w:tabs>
                <w:tab w:val="left" w:pos="463"/>
                <w:tab w:val="left" w:pos="3113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Are senior managers involved in signing off on the inventory?</w:t>
            </w:r>
          </w:p>
          <w:p w14:paraId="65829C68" w14:textId="77777777" w:rsidR="00C66FB6" w:rsidRDefault="00C66FB6" w:rsidP="007A25CE">
            <w:pPr>
              <w:pStyle w:val="FootnoteText"/>
              <w:tabs>
                <w:tab w:val="left" w:pos="463"/>
                <w:tab w:val="left" w:pos="3113"/>
              </w:tabs>
              <w:rPr>
                <w:snapToGrid w:val="0"/>
                <w:color w:val="000000"/>
              </w:rPr>
            </w:pPr>
          </w:p>
          <w:p w14:paraId="5EB72D9A" w14:textId="77777777" w:rsidR="00C66FB6" w:rsidRDefault="00C66FB6" w:rsidP="007A25CE">
            <w:pPr>
              <w:pStyle w:val="FootnoteText"/>
              <w:tabs>
                <w:tab w:val="left" w:pos="463"/>
                <w:tab w:val="left" w:pos="3113"/>
              </w:tabs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Are manager roles and responsibilities properly defined in </w:t>
            </w:r>
            <w:r w:rsidRPr="00F6582B">
              <w:rPr>
                <w:snapToGrid w:val="0"/>
                <w:color w:val="000000"/>
              </w:rPr>
              <w:t>#24?</w:t>
            </w:r>
          </w:p>
        </w:tc>
      </w:tr>
      <w:tr w:rsidR="00C66FB6" w14:paraId="0665DEED" w14:textId="77777777" w:rsidTr="007A25CE">
        <w:trPr>
          <w:cantSplit/>
        </w:trPr>
        <w:tc>
          <w:tcPr>
            <w:tcW w:w="468" w:type="dxa"/>
          </w:tcPr>
          <w:p w14:paraId="7BA1E578" w14:textId="3907B512" w:rsidR="00C66FB6" w:rsidRDefault="00344337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</w:t>
            </w:r>
            <w:r w:rsidR="00F613F5">
              <w:rPr>
                <w:rFonts w:ascii="Arial" w:hAnsi="Arial"/>
                <w:snapToGrid w:val="0"/>
                <w:sz w:val="16"/>
              </w:rPr>
              <w:t>0</w:t>
            </w:r>
            <w:r w:rsidR="00C66FB6">
              <w:rPr>
                <w:rFonts w:ascii="Arial" w:hAnsi="Arial"/>
                <w:snapToGrid w:val="0"/>
                <w:sz w:val="16"/>
              </w:rPr>
              <w:t>.</w:t>
            </w:r>
          </w:p>
        </w:tc>
        <w:tc>
          <w:tcPr>
            <w:tcW w:w="2610" w:type="dxa"/>
          </w:tcPr>
          <w:p w14:paraId="0CED2E5F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Corrective Action</w:t>
            </w:r>
          </w:p>
          <w:p w14:paraId="0218BD12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</w:p>
          <w:p w14:paraId="0A1A04C1" w14:textId="63E96FF1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70" w:type="dxa"/>
          </w:tcPr>
          <w:p w14:paraId="23350FD9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 description of the </w:t>
            </w:r>
            <w:r>
              <w:rPr>
                <w:rFonts w:ascii="Arial" w:hAnsi="Arial"/>
                <w:snapToGrid w:val="0"/>
                <w:sz w:val="16"/>
              </w:rPr>
              <w:t>process for implementing and documenting corrective actions for all internal and external reviews.</w:t>
            </w:r>
          </w:p>
        </w:tc>
        <w:tc>
          <w:tcPr>
            <w:tcW w:w="6660" w:type="dxa"/>
          </w:tcPr>
          <w:p w14:paraId="45ADB6FD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Is there a process for correcting errors or problems found?</w:t>
            </w:r>
          </w:p>
          <w:p w14:paraId="3451D739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14:paraId="42BA76A1" w14:textId="77777777" w:rsidR="00C66FB6" w:rsidRDefault="00C66FB6" w:rsidP="007A25CE">
            <w:pPr>
              <w:tabs>
                <w:tab w:val="left" w:pos="463"/>
                <w:tab w:val="left" w:pos="3113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Is it clear who is responsible for correcting a problem, when the problem should be solved, and how the correction process is tracked?  </w:t>
            </w:r>
          </w:p>
        </w:tc>
      </w:tr>
      <w:bookmarkEnd w:id="0"/>
    </w:tbl>
    <w:p w14:paraId="0D25D4CF" w14:textId="77777777" w:rsidR="00C66FB6" w:rsidRDefault="00C66FB6">
      <w:pPr>
        <w:pStyle w:val="Header"/>
        <w:tabs>
          <w:tab w:val="clear" w:pos="4320"/>
          <w:tab w:val="clear" w:pos="8640"/>
        </w:tabs>
      </w:pPr>
    </w:p>
    <w:sectPr w:rsidR="00C66FB6" w:rsidSect="00F613F5">
      <w:type w:val="continuous"/>
      <w:pgSz w:w="15840" w:h="12240" w:orient="landscape" w:code="1"/>
      <w:pgMar w:top="1440" w:right="720" w:bottom="1008" w:left="720" w:header="144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A23E9" w14:textId="77777777" w:rsidR="00592059" w:rsidRDefault="00592059">
      <w:r>
        <w:separator/>
      </w:r>
    </w:p>
  </w:endnote>
  <w:endnote w:type="continuationSeparator" w:id="0">
    <w:p w14:paraId="1E8AB68E" w14:textId="77777777" w:rsidR="00592059" w:rsidRDefault="0059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4E7D1" w14:textId="77777777" w:rsidR="00B9408A" w:rsidRDefault="00CB57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9E8909A" wp14:editId="0A001806">
              <wp:simplePos x="0" y="0"/>
              <wp:positionH relativeFrom="column">
                <wp:posOffset>-91440</wp:posOffset>
              </wp:positionH>
              <wp:positionV relativeFrom="paragraph">
                <wp:posOffset>38100</wp:posOffset>
              </wp:positionV>
              <wp:extent cx="9235440" cy="274320"/>
              <wp:effectExtent l="381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5440" cy="2743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FCFDF"/>
                          </a:gs>
                          <a:gs pos="50000">
                            <a:srgbClr val="9797BB"/>
                          </a:gs>
                          <a:gs pos="100000">
                            <a:srgbClr val="CFCFD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09256" w14:textId="607B6E3F" w:rsidR="00B9408A" w:rsidRDefault="00B9408A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7200"/>
                              <w:tab w:val="right" w:pos="14220"/>
                            </w:tabs>
                            <w:spacing w:before="6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ab/>
                            <w:t xml:space="preserve">Page </w:t>
                          </w:r>
                          <w:r w:rsidR="00EB60D6">
                            <w:rPr>
                              <w:rStyle w:val="PageNumber"/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 w:rsidR="00EB60D6">
                            <w:rPr>
                              <w:rStyle w:val="PageNumber"/>
                              <w:rFonts w:ascii="Times New Roman" w:hAnsi="Times New Roman"/>
                            </w:rPr>
                            <w:fldChar w:fldCharType="separate"/>
                          </w:r>
                          <w:r w:rsidR="00CB571F">
                            <w:rPr>
                              <w:rStyle w:val="PageNumber"/>
                              <w:rFonts w:ascii="Times New Roman" w:hAnsi="Times New Roman"/>
                              <w:noProof/>
                            </w:rPr>
                            <w:t>2</w:t>
                          </w:r>
                          <w:r w:rsidR="00EB60D6">
                            <w:rPr>
                              <w:rStyle w:val="PageNumber"/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</w:rPr>
                            <w:t xml:space="preserve"> of </w:t>
                          </w:r>
                          <w:r w:rsidR="00EB60D6">
                            <w:rPr>
                              <w:rStyle w:val="PageNumber"/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</w:rPr>
                            <w:instrText xml:space="preserve"> NUMPAGES </w:instrText>
                          </w:r>
                          <w:r w:rsidR="00EB60D6">
                            <w:rPr>
                              <w:rStyle w:val="PageNumber"/>
                              <w:rFonts w:ascii="Times New Roman" w:hAnsi="Times New Roman"/>
                            </w:rPr>
                            <w:fldChar w:fldCharType="separate"/>
                          </w:r>
                          <w:r w:rsidR="00CB571F">
                            <w:rPr>
                              <w:rStyle w:val="PageNumber"/>
                              <w:rFonts w:ascii="Times New Roman" w:hAnsi="Times New Roman"/>
                              <w:noProof/>
                            </w:rPr>
                            <w:t>4</w:t>
                          </w:r>
                          <w:r w:rsidR="00EB60D6">
                            <w:rPr>
                              <w:rStyle w:val="PageNumber"/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</w:rPr>
                            <w:tab/>
                          </w:r>
                          <w:r w:rsidR="004872CC">
                            <w:rPr>
                              <w:rStyle w:val="PageNumber"/>
                              <w:rFonts w:ascii="Times New Roman" w:hAnsi="Times New Roman"/>
                            </w:rPr>
                            <w:t>January 2021</w:t>
                          </w:r>
                          <w:r w:rsidR="00422CC9">
                            <w:rPr>
                              <w:rStyle w:val="PageNumber"/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</w:rPr>
                            <w:t>VERSION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890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2pt;margin-top:3pt;width:727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" o:allowincell="f" fillcolor="#cfcfdf" stroked="f">
              <v:fill color2="#9797bb" angle="90" focus="50%" type="gradient"/>
              <v:textbox>
                <w:txbxContent>
                  <w:p w14:paraId="12E09256" w14:textId="607B6E3F" w:rsidR="00B9408A" w:rsidRDefault="00B9408A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7200"/>
                        <w:tab w:val="right" w:pos="14220"/>
                      </w:tabs>
                      <w:spacing w:before="6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ab/>
                      <w:t xml:space="preserve">Page </w:t>
                    </w:r>
                    <w:r w:rsidR="00EB60D6">
                      <w:rPr>
                        <w:rStyle w:val="PageNumber"/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PageNumber"/>
                        <w:rFonts w:ascii="Times New Roman" w:hAnsi="Times New Roman"/>
                      </w:rPr>
                      <w:instrText xml:space="preserve"> PAGE </w:instrText>
                    </w:r>
                    <w:r w:rsidR="00EB60D6">
                      <w:rPr>
                        <w:rStyle w:val="PageNumber"/>
                        <w:rFonts w:ascii="Times New Roman" w:hAnsi="Times New Roman"/>
                      </w:rPr>
                      <w:fldChar w:fldCharType="separate"/>
                    </w:r>
                    <w:r w:rsidR="00CB571F">
                      <w:rPr>
                        <w:rStyle w:val="PageNumber"/>
                        <w:rFonts w:ascii="Times New Roman" w:hAnsi="Times New Roman"/>
                        <w:noProof/>
                      </w:rPr>
                      <w:t>2</w:t>
                    </w:r>
                    <w:r w:rsidR="00EB60D6">
                      <w:rPr>
                        <w:rStyle w:val="PageNumber"/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Style w:val="PageNumber"/>
                        <w:rFonts w:ascii="Times New Roman" w:hAnsi="Times New Roman"/>
                      </w:rPr>
                      <w:t xml:space="preserve"> of </w:t>
                    </w:r>
                    <w:r w:rsidR="00EB60D6">
                      <w:rPr>
                        <w:rStyle w:val="PageNumber"/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PageNumber"/>
                        <w:rFonts w:ascii="Times New Roman" w:hAnsi="Times New Roman"/>
                      </w:rPr>
                      <w:instrText xml:space="preserve"> NUMPAGES </w:instrText>
                    </w:r>
                    <w:r w:rsidR="00EB60D6">
                      <w:rPr>
                        <w:rStyle w:val="PageNumber"/>
                        <w:rFonts w:ascii="Times New Roman" w:hAnsi="Times New Roman"/>
                      </w:rPr>
                      <w:fldChar w:fldCharType="separate"/>
                    </w:r>
                    <w:r w:rsidR="00CB571F">
                      <w:rPr>
                        <w:rStyle w:val="PageNumber"/>
                        <w:rFonts w:ascii="Times New Roman" w:hAnsi="Times New Roman"/>
                        <w:noProof/>
                      </w:rPr>
                      <w:t>4</w:t>
                    </w:r>
                    <w:r w:rsidR="00EB60D6">
                      <w:rPr>
                        <w:rStyle w:val="PageNumber"/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Style w:val="PageNumber"/>
                        <w:rFonts w:ascii="Times New Roman" w:hAnsi="Times New Roman"/>
                      </w:rPr>
                      <w:tab/>
                    </w:r>
                    <w:r w:rsidR="004872CC">
                      <w:rPr>
                        <w:rStyle w:val="PageNumber"/>
                        <w:rFonts w:ascii="Times New Roman" w:hAnsi="Times New Roman"/>
                      </w:rPr>
                      <w:t>January 2021</w:t>
                    </w:r>
                    <w:r w:rsidR="00422CC9">
                      <w:rPr>
                        <w:rStyle w:val="PageNumber"/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Style w:val="PageNumber"/>
                        <w:rFonts w:ascii="Times New Roman" w:hAnsi="Times New Roman"/>
                      </w:rPr>
                      <w:t>VERSION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97A9B" w14:textId="77777777" w:rsidR="00592059" w:rsidRDefault="00592059">
      <w:r>
        <w:separator/>
      </w:r>
    </w:p>
  </w:footnote>
  <w:footnote w:type="continuationSeparator" w:id="0">
    <w:p w14:paraId="79FD28B2" w14:textId="77777777" w:rsidR="00592059" w:rsidRDefault="0059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BFBB5" w14:textId="24141895" w:rsidR="00B9408A" w:rsidRDefault="00B9408A">
    <w:pPr>
      <w:pStyle w:val="Header"/>
      <w:tabs>
        <w:tab w:val="clear" w:pos="8640"/>
        <w:tab w:val="right" w:pos="10080"/>
      </w:tabs>
      <w:ind w:lef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DE2AE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E50B9"/>
    <w:multiLevelType w:val="multilevel"/>
    <w:tmpl w:val="1C289876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6411AE6"/>
    <w:multiLevelType w:val="singleLevel"/>
    <w:tmpl w:val="73E2401E"/>
    <w:lvl w:ilvl="0">
      <w:start w:val="1"/>
      <w:numFmt w:val="bullet"/>
      <w:lvlText w:val="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3" w15:restartNumberingAfterBreak="0">
    <w:nsid w:val="196B56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2F21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8C3CAE"/>
    <w:multiLevelType w:val="singleLevel"/>
    <w:tmpl w:val="4EA47212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6" w15:restartNumberingAfterBreak="0">
    <w:nsid w:val="21D63BA5"/>
    <w:multiLevelType w:val="multilevel"/>
    <w:tmpl w:val="F4EA53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00C1A"/>
    <w:multiLevelType w:val="singleLevel"/>
    <w:tmpl w:val="8A4C2E3C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27FA6E0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31ED"/>
    <w:multiLevelType w:val="multilevel"/>
    <w:tmpl w:val="194E17D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F0930D0"/>
    <w:multiLevelType w:val="singleLevel"/>
    <w:tmpl w:val="A79ECE7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2A605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A41682"/>
    <w:multiLevelType w:val="multilevel"/>
    <w:tmpl w:val="6110F676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1BE648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02395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CF260C"/>
    <w:multiLevelType w:val="singleLevel"/>
    <w:tmpl w:val="A79ECE7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16" w15:restartNumberingAfterBreak="0">
    <w:nsid w:val="6772503D"/>
    <w:multiLevelType w:val="multilevel"/>
    <w:tmpl w:val="0ACC7BB6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F461E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1C849BC"/>
    <w:multiLevelType w:val="hybridMultilevel"/>
    <w:tmpl w:val="4DA29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C61F4"/>
    <w:multiLevelType w:val="singleLevel"/>
    <w:tmpl w:val="8A4C2E3C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sz w:val="28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11"/>
  </w:num>
  <w:num w:numId="5">
    <w:abstractNumId w:val="14"/>
  </w:num>
  <w:num w:numId="6">
    <w:abstractNumId w:val="13"/>
  </w:num>
  <w:num w:numId="7">
    <w:abstractNumId w:val="0"/>
  </w:num>
  <w:num w:numId="8">
    <w:abstractNumId w:val="9"/>
  </w:num>
  <w:num w:numId="9">
    <w:abstractNumId w:val="1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10"/>
  </w:num>
  <w:num w:numId="15">
    <w:abstractNumId w:val="4"/>
  </w:num>
  <w:num w:numId="16">
    <w:abstractNumId w:val="3"/>
  </w:num>
  <w:num w:numId="17">
    <w:abstractNumId w:val="17"/>
  </w:num>
  <w:num w:numId="18">
    <w:abstractNumId w:val="5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cfcfdf,#8888b0,#9797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446"/>
    <w:rsid w:val="00013429"/>
    <w:rsid w:val="000224AC"/>
    <w:rsid w:val="0003657B"/>
    <w:rsid w:val="00081CF4"/>
    <w:rsid w:val="001162E7"/>
    <w:rsid w:val="00120A12"/>
    <w:rsid w:val="00137C48"/>
    <w:rsid w:val="00142DCE"/>
    <w:rsid w:val="0014645B"/>
    <w:rsid w:val="00183987"/>
    <w:rsid w:val="001B1583"/>
    <w:rsid w:val="001C1014"/>
    <w:rsid w:val="00217D20"/>
    <w:rsid w:val="00221A25"/>
    <w:rsid w:val="00233452"/>
    <w:rsid w:val="00247F8A"/>
    <w:rsid w:val="00263392"/>
    <w:rsid w:val="00264FC3"/>
    <w:rsid w:val="002875A9"/>
    <w:rsid w:val="00344337"/>
    <w:rsid w:val="0036639E"/>
    <w:rsid w:val="003877C3"/>
    <w:rsid w:val="003F592C"/>
    <w:rsid w:val="00412A54"/>
    <w:rsid w:val="00422CC9"/>
    <w:rsid w:val="00472897"/>
    <w:rsid w:val="004872CC"/>
    <w:rsid w:val="004C020E"/>
    <w:rsid w:val="004D38EA"/>
    <w:rsid w:val="00551501"/>
    <w:rsid w:val="00575087"/>
    <w:rsid w:val="00592059"/>
    <w:rsid w:val="005F7626"/>
    <w:rsid w:val="00655756"/>
    <w:rsid w:val="00665770"/>
    <w:rsid w:val="006861D9"/>
    <w:rsid w:val="006B5FC6"/>
    <w:rsid w:val="006C774B"/>
    <w:rsid w:val="006D1A62"/>
    <w:rsid w:val="00705787"/>
    <w:rsid w:val="00714FE7"/>
    <w:rsid w:val="00725F68"/>
    <w:rsid w:val="007332AD"/>
    <w:rsid w:val="007A25CE"/>
    <w:rsid w:val="007A44B2"/>
    <w:rsid w:val="007C3407"/>
    <w:rsid w:val="00890396"/>
    <w:rsid w:val="0089790A"/>
    <w:rsid w:val="00904BFE"/>
    <w:rsid w:val="0094109E"/>
    <w:rsid w:val="00942C53"/>
    <w:rsid w:val="009D0FCC"/>
    <w:rsid w:val="009D3AC3"/>
    <w:rsid w:val="009D782A"/>
    <w:rsid w:val="009E2966"/>
    <w:rsid w:val="009E5750"/>
    <w:rsid w:val="00A2519E"/>
    <w:rsid w:val="00A81197"/>
    <w:rsid w:val="00A9564B"/>
    <w:rsid w:val="00B2445A"/>
    <w:rsid w:val="00B9408A"/>
    <w:rsid w:val="00BA7F57"/>
    <w:rsid w:val="00BD7011"/>
    <w:rsid w:val="00C07250"/>
    <w:rsid w:val="00C65FEE"/>
    <w:rsid w:val="00C66FB6"/>
    <w:rsid w:val="00C706D3"/>
    <w:rsid w:val="00C73C9A"/>
    <w:rsid w:val="00C94DD9"/>
    <w:rsid w:val="00CA34B1"/>
    <w:rsid w:val="00CA6C14"/>
    <w:rsid w:val="00CB3B32"/>
    <w:rsid w:val="00CB571F"/>
    <w:rsid w:val="00D86C7D"/>
    <w:rsid w:val="00D949BC"/>
    <w:rsid w:val="00DA48D1"/>
    <w:rsid w:val="00DC0632"/>
    <w:rsid w:val="00DC1789"/>
    <w:rsid w:val="00DC6262"/>
    <w:rsid w:val="00DE140F"/>
    <w:rsid w:val="00DF0AE2"/>
    <w:rsid w:val="00E21799"/>
    <w:rsid w:val="00E45BDA"/>
    <w:rsid w:val="00E50F4D"/>
    <w:rsid w:val="00E72B1F"/>
    <w:rsid w:val="00E760F4"/>
    <w:rsid w:val="00EB60D6"/>
    <w:rsid w:val="00EC4446"/>
    <w:rsid w:val="00EE2334"/>
    <w:rsid w:val="00EF6F24"/>
    <w:rsid w:val="00F30213"/>
    <w:rsid w:val="00F6007E"/>
    <w:rsid w:val="00F613F5"/>
    <w:rsid w:val="00F6582B"/>
    <w:rsid w:val="00F668D5"/>
    <w:rsid w:val="00F77FE0"/>
    <w:rsid w:val="00F858A6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>
      <o:colormru v:ext="edit" colors="#cfcfdf,#8888b0,#9797bb"/>
    </o:shapedefaults>
    <o:shapelayout v:ext="edit">
      <o:idmap v:ext="edit" data="1"/>
    </o:shapelayout>
  </w:shapeDefaults>
  <w:decimalSymbol w:val="."/>
  <w:listSeparator w:val=","/>
  <w14:docId w14:val="0DA9D4A7"/>
  <w15:docId w15:val="{20A2D0C6-5D96-4C68-8EA8-181E07DF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5A9"/>
    <w:rPr>
      <w:sz w:val="24"/>
    </w:rPr>
  </w:style>
  <w:style w:type="paragraph" w:styleId="Heading1">
    <w:name w:val="heading 1"/>
    <w:basedOn w:val="Normal"/>
    <w:next w:val="Normal"/>
    <w:qFormat/>
    <w:rsid w:val="002875A9"/>
    <w:pPr>
      <w:keepNext/>
      <w:outlineLvl w:val="0"/>
    </w:pPr>
    <w:rPr>
      <w:rFonts w:ascii="Book Antiqua" w:hAnsi="Book Antiqua"/>
      <w:b/>
      <w:i/>
      <w:sz w:val="28"/>
    </w:rPr>
  </w:style>
  <w:style w:type="paragraph" w:styleId="Heading2">
    <w:name w:val="heading 2"/>
    <w:basedOn w:val="Normal"/>
    <w:next w:val="Normal"/>
    <w:qFormat/>
    <w:rsid w:val="002875A9"/>
    <w:pPr>
      <w:keepNext/>
      <w:outlineLvl w:val="1"/>
    </w:pPr>
    <w:rPr>
      <w:rFonts w:ascii="Book Antiqua" w:hAnsi="Book Antiqua"/>
      <w:b/>
      <w:sz w:val="28"/>
    </w:rPr>
  </w:style>
  <w:style w:type="paragraph" w:styleId="Heading3">
    <w:name w:val="heading 3"/>
    <w:basedOn w:val="Normal"/>
    <w:next w:val="Normal"/>
    <w:qFormat/>
    <w:rsid w:val="002875A9"/>
    <w:pPr>
      <w:keepNext/>
      <w:outlineLvl w:val="2"/>
    </w:pPr>
    <w:rPr>
      <w:rFonts w:ascii="Book Antiqua" w:hAnsi="Book Antiqua"/>
      <w:b/>
      <w:color w:val="000080"/>
      <w:sz w:val="28"/>
    </w:rPr>
  </w:style>
  <w:style w:type="paragraph" w:styleId="Heading4">
    <w:name w:val="heading 4"/>
    <w:basedOn w:val="Normal"/>
    <w:next w:val="Normal"/>
    <w:qFormat/>
    <w:rsid w:val="002875A9"/>
    <w:pPr>
      <w:keepNext/>
      <w:outlineLvl w:val="3"/>
    </w:pPr>
    <w:rPr>
      <w:rFonts w:ascii="Book Antiqua" w:hAnsi="Book Antiqua"/>
      <w:b/>
      <w:u w:val="single"/>
    </w:rPr>
  </w:style>
  <w:style w:type="paragraph" w:styleId="Heading7">
    <w:name w:val="heading 7"/>
    <w:basedOn w:val="Normal"/>
    <w:next w:val="Normal"/>
    <w:qFormat/>
    <w:rsid w:val="002875A9"/>
    <w:pPr>
      <w:keepNext/>
      <w:tabs>
        <w:tab w:val="left" w:pos="463"/>
        <w:tab w:val="left" w:pos="3113"/>
      </w:tabs>
      <w:outlineLvl w:val="6"/>
    </w:pPr>
    <w:rPr>
      <w:rFonts w:ascii="Arial" w:eastAsia="Times New Roman" w:hAnsi="Arial"/>
      <w:b/>
      <w:snapToGrid w:val="0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75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75A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5A9"/>
    <w:rPr>
      <w:rFonts w:ascii="Book Antiqua" w:eastAsia="Times New Roman" w:hAnsi="Book Antiqua"/>
      <w:sz w:val="28"/>
    </w:rPr>
  </w:style>
  <w:style w:type="paragraph" w:styleId="BodyTextIndent">
    <w:name w:val="Body Text Indent"/>
    <w:basedOn w:val="Normal"/>
    <w:rsid w:val="002875A9"/>
    <w:pPr>
      <w:ind w:left="1440" w:hanging="1440"/>
    </w:pPr>
    <w:rPr>
      <w:rFonts w:ascii="Book Antiqua" w:hAnsi="Book Antiqua"/>
      <w:b/>
    </w:rPr>
  </w:style>
  <w:style w:type="paragraph" w:styleId="BodyTextIndent2">
    <w:name w:val="Body Text Indent 2"/>
    <w:basedOn w:val="Normal"/>
    <w:rsid w:val="002875A9"/>
    <w:pPr>
      <w:ind w:left="1440" w:hanging="1440"/>
    </w:pPr>
    <w:rPr>
      <w:rFonts w:ascii="Book Antiqua" w:hAnsi="Book Antiqua"/>
      <w:b/>
      <w:color w:val="000080"/>
    </w:rPr>
  </w:style>
  <w:style w:type="paragraph" w:styleId="BodyTextIndent3">
    <w:name w:val="Body Text Indent 3"/>
    <w:basedOn w:val="Normal"/>
    <w:rsid w:val="002875A9"/>
    <w:pPr>
      <w:ind w:left="2160"/>
    </w:pPr>
    <w:rPr>
      <w:rFonts w:ascii="Book Antiqua" w:hAnsi="Book Antiqua"/>
    </w:rPr>
  </w:style>
  <w:style w:type="paragraph" w:styleId="ListBullet">
    <w:name w:val="List Bullet"/>
    <w:basedOn w:val="Bullet"/>
    <w:autoRedefine/>
    <w:rsid w:val="002875A9"/>
    <w:pPr>
      <w:numPr>
        <w:numId w:val="7"/>
      </w:numPr>
    </w:pPr>
  </w:style>
  <w:style w:type="paragraph" w:customStyle="1" w:styleId="Bullet">
    <w:name w:val="Bullet"/>
    <w:basedOn w:val="BodyText"/>
    <w:next w:val="BodyText"/>
    <w:rsid w:val="002875A9"/>
    <w:pPr>
      <w:spacing w:after="160"/>
    </w:pPr>
    <w:rPr>
      <w:sz w:val="22"/>
    </w:rPr>
  </w:style>
  <w:style w:type="paragraph" w:styleId="BodyText2">
    <w:name w:val="Body Text 2"/>
    <w:basedOn w:val="Normal"/>
    <w:rsid w:val="002875A9"/>
    <w:pPr>
      <w:tabs>
        <w:tab w:val="left" w:pos="463"/>
        <w:tab w:val="left" w:pos="3113"/>
      </w:tabs>
    </w:pPr>
    <w:rPr>
      <w:rFonts w:ascii="Arial" w:eastAsia="Times New Roman" w:hAnsi="Arial"/>
      <w:snapToGrid w:val="0"/>
      <w:color w:val="000000"/>
      <w:sz w:val="16"/>
    </w:rPr>
  </w:style>
  <w:style w:type="paragraph" w:styleId="FootnoteText">
    <w:name w:val="footnote text"/>
    <w:basedOn w:val="BodyText"/>
    <w:semiHidden/>
    <w:rsid w:val="002875A9"/>
    <w:rPr>
      <w:rFonts w:ascii="Arial" w:hAnsi="Arial"/>
      <w:sz w:val="16"/>
    </w:rPr>
  </w:style>
  <w:style w:type="character" w:styleId="PageNumber">
    <w:name w:val="page number"/>
    <w:basedOn w:val="DefaultParagraphFont"/>
    <w:rsid w:val="002875A9"/>
    <w:rPr>
      <w:sz w:val="16"/>
    </w:rPr>
  </w:style>
  <w:style w:type="paragraph" w:styleId="Title">
    <w:name w:val="Title"/>
    <w:basedOn w:val="Normal"/>
    <w:qFormat/>
    <w:rsid w:val="002875A9"/>
    <w:pPr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rsid w:val="004C0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02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C020E"/>
    <w:rPr>
      <w:color w:val="0000FF"/>
      <w:u w:val="single"/>
    </w:rPr>
  </w:style>
  <w:style w:type="character" w:styleId="CommentReference">
    <w:name w:val="annotation reference"/>
    <w:basedOn w:val="DefaultParagraphFont"/>
    <w:rsid w:val="00B940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40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408A"/>
  </w:style>
  <w:style w:type="paragraph" w:styleId="CommentSubject">
    <w:name w:val="annotation subject"/>
    <w:basedOn w:val="CommentText"/>
    <w:next w:val="CommentText"/>
    <w:link w:val="CommentSubjectChar"/>
    <w:rsid w:val="00B94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408A"/>
    <w:rPr>
      <w:b/>
      <w:bCs/>
    </w:rPr>
  </w:style>
  <w:style w:type="character" w:styleId="FollowedHyperlink">
    <w:name w:val="FollowedHyperlink"/>
    <w:basedOn w:val="DefaultParagraphFont"/>
    <w:rsid w:val="00081CF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D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S1MwMTI1NzwvVXNlck5hbWU+PERhdGVUaW1lPjEvMTUvMjAyMSA4OjUxOjAzIFBNPC9EYXRlVGltZT48TGFiZWxTdHJpbmc+Tm8gTWFya2luZzwvTGFiZWxTdHJpbmc+PC9pdGVtPjwvbGFiZWxIaXN0b3J5Pg==</Value>
</WrappedLabelHistory>
</file>

<file path=customXml/itemProps1.xml><?xml version="1.0" encoding="utf-8"?>
<ds:datastoreItem xmlns:ds="http://schemas.openxmlformats.org/officeDocument/2006/customXml" ds:itemID="{339428E9-513E-48EE-A92A-536B206848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2D912-1314-4527-8CB2-7CE761454850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BC2F35E-E969-4206-80B5-E232C8EAF15A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Climate Leaders GHG Inventory Protocol and Goal Setting Workshop</vt:lpstr>
    </vt:vector>
  </TitlesOfParts>
  <Company>TMP Worldwide</Company>
  <LinksUpToDate>false</LinksUpToDate>
  <CharactersWithSpaces>12435</CharactersWithSpaces>
  <SharedDoc>false</SharedDoc>
  <HLinks>
    <vt:vector size="6" baseType="variant">
      <vt:variant>
        <vt:i4>7077892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http://www.epa.gov/climateleaders/documents/greenpower_guidance.pdf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Leaders GHG Inventory Protocol and Goal Setting Workshop</dc:title>
  <dc:creator>usepa</dc:creator>
  <cp:lastModifiedBy>Charlie Goff</cp:lastModifiedBy>
  <cp:revision>4</cp:revision>
  <cp:lastPrinted>2005-03-10T20:26:00Z</cp:lastPrinted>
  <dcterms:created xsi:type="dcterms:W3CDTF">2021-01-22T21:00:00Z</dcterms:created>
  <dcterms:modified xsi:type="dcterms:W3CDTF">2021-01-22T21:10:00Z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7026d509-3a8c-456b-954a-7ae4364c1a14</vt:lpwstr>
  </property>
  <property fmtid="{D5CDD505-2E9C-101B-9397-08002B2CF9AE}" pid="3" name="bjSaver">
    <vt:lpwstr>99/6K1TjJPhC2pl7+bD/D7306J/n0tDC</vt:lpwstr>
  </property>
  <property fmtid="{D5CDD505-2E9C-101B-9397-08002B2CF9AE}" pid="4" name="bjDocumentSecurityLabel">
    <vt:lpwstr>No Marking</vt:lpwstr>
  </property>
  <property fmtid="{D5CDD505-2E9C-101B-9397-08002B2CF9AE}" pid="5" name="bjClsUserRVM">
    <vt:lpwstr>[]</vt:lpwstr>
  </property>
  <property fmtid="{D5CDD505-2E9C-101B-9397-08002B2CF9AE}" pid="6" name="bjLabelHistoryID">
    <vt:lpwstr>{BBC2F35E-E969-4206-80B5-E232C8EAF15A}</vt:lpwstr>
  </property>
</Properties>
</file>